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AE" w:rsidRPr="00A44AAE" w:rsidRDefault="00A44AAE" w:rsidP="00A44AAE">
      <w:pPr>
        <w:spacing w:after="0" w:line="462" w:lineRule="atLeast"/>
        <w:outlineLvl w:val="1"/>
        <w:rPr>
          <w:rFonts w:ascii="Arial" w:eastAsia="Times New Roman" w:hAnsi="Arial" w:cs="Arial"/>
          <w:color w:val="000000"/>
          <w:sz w:val="42"/>
          <w:szCs w:val="42"/>
          <w:lang w:eastAsia="ru-RU"/>
        </w:rPr>
      </w:pPr>
      <w:r w:rsidRPr="00A44AAE">
        <w:rPr>
          <w:rFonts w:ascii="Arial" w:eastAsia="Times New Roman" w:hAnsi="Arial" w:cs="Arial"/>
          <w:color w:val="000000"/>
          <w:sz w:val="42"/>
          <w:szCs w:val="42"/>
          <w:lang w:eastAsia="ru-RU"/>
        </w:rPr>
        <w:t>Применение электронных накладных при осуществлении торговли товарами, подлежащими маркировке средствами идентификации</w:t>
      </w:r>
    </w:p>
    <w:p w:rsidR="00A44AAE" w:rsidRPr="00A44AAE" w:rsidRDefault="00A44AAE" w:rsidP="00A44AAE">
      <w:pPr>
        <w:spacing w:before="100" w:beforeAutospacing="1" w:after="100" w:afterAutospacing="1" w:line="360" w:lineRule="atLeast"/>
        <w:rPr>
          <w:rFonts w:ascii="Arial" w:eastAsia="Times New Roman" w:hAnsi="Arial" w:cs="Arial"/>
          <w:b/>
          <w:bCs/>
          <w:color w:val="444444"/>
          <w:sz w:val="27"/>
          <w:szCs w:val="27"/>
          <w:lang w:eastAsia="ru-RU"/>
        </w:rPr>
      </w:pPr>
      <w:r w:rsidRPr="00A44AAE">
        <w:rPr>
          <w:rFonts w:ascii="Arial" w:eastAsia="Times New Roman" w:hAnsi="Arial" w:cs="Arial"/>
          <w:b/>
          <w:bCs/>
          <w:color w:val="444444"/>
          <w:sz w:val="27"/>
          <w:szCs w:val="27"/>
          <w:lang w:eastAsia="ru-RU"/>
        </w:rPr>
        <w:t>График перехода объектов торговли и общественного питания на электронный документооборот (с учетом внесенных изменений) согласно Комплексу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 утвержденному Заместителем Премьер-министра Республики Беларусь 26 июля 2021 г. № 06/221-403/465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6"/>
        <w:gridCol w:w="3358"/>
        <w:gridCol w:w="2741"/>
      </w:tblGrid>
      <w:tr w:rsidR="00A44AAE" w:rsidRPr="00A44AAE" w:rsidTr="00A44AAE">
        <w:trPr>
          <w:tblCellSpacing w:w="15" w:type="dxa"/>
        </w:trPr>
        <w:tc>
          <w:tcPr>
            <w:tcW w:w="351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Объекты торговли, расположенные на территории городских населенных пунктов, с размером торговой площади, кв. м., объекты общественного питания</w:t>
            </w:r>
          </w:p>
        </w:tc>
        <w:tc>
          <w:tcPr>
            <w:tcW w:w="354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Объекты торговли, расположенные на территории сельской местности, с размером торговой площади, кв. м., объекты общественного питания</w:t>
            </w:r>
          </w:p>
        </w:tc>
        <w:tc>
          <w:tcPr>
            <w:tcW w:w="280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Сроки перехода на</w:t>
            </w:r>
          </w:p>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электронный</w:t>
            </w:r>
          </w:p>
          <w:p w:rsid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документооборот</w:t>
            </w:r>
          </w:p>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c>
      </w:tr>
      <w:tr w:rsidR="00A44AAE" w:rsidRPr="00A44AAE" w:rsidTr="00A44AAE">
        <w:trPr>
          <w:tblCellSpacing w:w="15" w:type="dxa"/>
        </w:trPr>
        <w:tc>
          <w:tcPr>
            <w:tcW w:w="351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1000 и более</w:t>
            </w:r>
          </w:p>
        </w:tc>
        <w:tc>
          <w:tcPr>
            <w:tcW w:w="354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1000 и более</w:t>
            </w:r>
          </w:p>
        </w:tc>
        <w:tc>
          <w:tcPr>
            <w:tcW w:w="280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01.02.2022</w:t>
            </w:r>
          </w:p>
        </w:tc>
      </w:tr>
      <w:tr w:rsidR="00A44AAE" w:rsidRPr="00A44AAE" w:rsidTr="00A44AAE">
        <w:trPr>
          <w:tblCellSpacing w:w="15" w:type="dxa"/>
        </w:trPr>
        <w:tc>
          <w:tcPr>
            <w:tcW w:w="351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200-999</w:t>
            </w:r>
          </w:p>
        </w:tc>
        <w:tc>
          <w:tcPr>
            <w:tcW w:w="354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200-999</w:t>
            </w:r>
          </w:p>
        </w:tc>
        <w:tc>
          <w:tcPr>
            <w:tcW w:w="280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01.04.2022</w:t>
            </w:r>
          </w:p>
        </w:tc>
      </w:tr>
      <w:tr w:rsidR="00A44AAE" w:rsidRPr="00A44AAE" w:rsidTr="00A44AAE">
        <w:trPr>
          <w:tblCellSpacing w:w="15" w:type="dxa"/>
        </w:trPr>
        <w:tc>
          <w:tcPr>
            <w:tcW w:w="351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100-199</w:t>
            </w:r>
          </w:p>
        </w:tc>
        <w:tc>
          <w:tcPr>
            <w:tcW w:w="354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100-199</w:t>
            </w:r>
          </w:p>
        </w:tc>
        <w:tc>
          <w:tcPr>
            <w:tcW w:w="280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01.06.2022</w:t>
            </w:r>
          </w:p>
        </w:tc>
      </w:tr>
      <w:tr w:rsidR="00A44AAE" w:rsidRPr="00A44AAE" w:rsidTr="00A44AAE">
        <w:trPr>
          <w:tblCellSpacing w:w="15" w:type="dxa"/>
        </w:trPr>
        <w:tc>
          <w:tcPr>
            <w:tcW w:w="351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100, киоски и объекты общественного питания</w:t>
            </w:r>
          </w:p>
        </w:tc>
        <w:tc>
          <w:tcPr>
            <w:tcW w:w="354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100, киоски, автомагазины и объекты общественного питания</w:t>
            </w:r>
          </w:p>
        </w:tc>
        <w:tc>
          <w:tcPr>
            <w:tcW w:w="280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01.10.2022</w:t>
            </w:r>
          </w:p>
        </w:tc>
      </w:tr>
    </w:tbl>
    <w:p w:rsidR="00A44AAE" w:rsidRPr="00A44AAE" w:rsidRDefault="00A44AAE" w:rsidP="00A44AAE">
      <w:pPr>
        <w:spacing w:after="0" w:line="240" w:lineRule="auto"/>
        <w:rPr>
          <w:rFonts w:ascii="Arial" w:eastAsia="Times New Roman" w:hAnsi="Arial" w:cs="Arial"/>
          <w:vanish/>
          <w:color w:val="000000"/>
          <w:sz w:val="24"/>
          <w:szCs w:val="24"/>
          <w:lang w:eastAsia="ru-RU"/>
        </w:rPr>
      </w:pPr>
    </w:p>
    <w:tbl>
      <w:tblPr>
        <w:tblW w:w="9855" w:type="dxa"/>
        <w:tblCellSpacing w:w="15" w:type="dxa"/>
        <w:tblCellMar>
          <w:top w:w="15" w:type="dxa"/>
          <w:left w:w="15" w:type="dxa"/>
          <w:bottom w:w="15" w:type="dxa"/>
          <w:right w:w="15" w:type="dxa"/>
        </w:tblCellMar>
        <w:tblLook w:val="04A0" w:firstRow="1" w:lastRow="0" w:firstColumn="1" w:lastColumn="0" w:noHBand="0" w:noVBand="1"/>
      </w:tblPr>
      <w:tblGrid>
        <w:gridCol w:w="9855"/>
      </w:tblGrid>
      <w:tr w:rsidR="00A44AAE" w:rsidRPr="00A44AAE" w:rsidTr="00A44AAE">
        <w:trPr>
          <w:tblCellSpacing w:w="15" w:type="dxa"/>
        </w:trPr>
        <w:tc>
          <w:tcPr>
            <w:tcW w:w="0" w:type="auto"/>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 </w:t>
            </w:r>
          </w:p>
        </w:tc>
      </w:tr>
    </w:tbl>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 </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 </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График перехода объектов торговли на электронный документооборот (с учетом</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внесенных изменений)</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согласно Комплексу мероприятий по переходу торговых объектов к использованию электронных накладных при обороте товаров, подлежащих маркировке (за исключением молочной продукции) и (или) прослеживаемости, на 2021 - 2022 годы, утвержденному Первым заместителем Премьер-министра Республики Беларусь 5 ноября 2021 г. № 32/221-569/242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gridCol w:w="4049"/>
        <w:gridCol w:w="2248"/>
        <w:gridCol w:w="2472"/>
      </w:tblGrid>
      <w:tr w:rsidR="00A44AAE" w:rsidRPr="00A44AAE" w:rsidTr="00A44AAE">
        <w:trPr>
          <w:tblCellSpacing w:w="15" w:type="dxa"/>
        </w:trPr>
        <w:tc>
          <w:tcPr>
            <w:tcW w:w="67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w:t>
            </w:r>
          </w:p>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п\п</w:t>
            </w:r>
          </w:p>
        </w:tc>
        <w:tc>
          <w:tcPr>
            <w:tcW w:w="426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Объекты торговли по видам и типам</w:t>
            </w: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Размер торговой площади</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Сроки перехода на электронный документооборот</w:t>
            </w:r>
          </w:p>
        </w:tc>
      </w:tr>
      <w:tr w:rsidR="00A44AAE" w:rsidRPr="00A44AAE" w:rsidTr="00A44AAE">
        <w:trPr>
          <w:tblCellSpacing w:w="15" w:type="dxa"/>
        </w:trPr>
        <w:tc>
          <w:tcPr>
            <w:tcW w:w="675" w:type="dxa"/>
            <w:vMerge w:val="restart"/>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lastRenderedPageBreak/>
              <w:t>1.</w:t>
            </w:r>
          </w:p>
        </w:tc>
        <w:tc>
          <w:tcPr>
            <w:tcW w:w="4260" w:type="dxa"/>
            <w:vMerge w:val="restart"/>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Специализированные магазины</w:t>
            </w: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более 1000 кв. м.</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01.04.2022</w:t>
            </w:r>
          </w:p>
        </w:tc>
      </w:tr>
      <w:tr w:rsidR="00A44AAE" w:rsidRPr="00A44AAE" w:rsidTr="00A44AAE">
        <w:trPr>
          <w:tblCellSpacing w:w="15" w:type="dxa"/>
        </w:trPr>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600 - 1000 кв.м.</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01.05.2022</w:t>
            </w:r>
          </w:p>
        </w:tc>
      </w:tr>
      <w:tr w:rsidR="00A44AAE" w:rsidRPr="00A44AAE" w:rsidTr="00A44AAE">
        <w:trPr>
          <w:tblCellSpacing w:w="15" w:type="dxa"/>
        </w:trPr>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600 кв.м.</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01.06.2022</w:t>
            </w:r>
          </w:p>
        </w:tc>
      </w:tr>
      <w:tr w:rsidR="00A44AAE" w:rsidRPr="00A44AAE" w:rsidTr="00A44AAE">
        <w:trPr>
          <w:tblCellSpacing w:w="15" w:type="dxa"/>
        </w:trPr>
        <w:tc>
          <w:tcPr>
            <w:tcW w:w="675" w:type="dxa"/>
            <w:vMerge w:val="restart"/>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2.</w:t>
            </w:r>
          </w:p>
        </w:tc>
        <w:tc>
          <w:tcPr>
            <w:tcW w:w="4260" w:type="dxa"/>
            <w:vMerge w:val="restart"/>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Неспециализированные магазины с универсальным, комбинированным, смешанным ассортиментом товаров</w:t>
            </w: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более 1000 кв. м.</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01.04.2022</w:t>
            </w:r>
          </w:p>
        </w:tc>
      </w:tr>
      <w:tr w:rsidR="00A44AAE" w:rsidRPr="00A44AAE" w:rsidTr="00A44AAE">
        <w:trPr>
          <w:tblCellSpacing w:w="15" w:type="dxa"/>
        </w:trPr>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600 - 1000 кв.м.</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01.05.2022</w:t>
            </w:r>
          </w:p>
        </w:tc>
      </w:tr>
      <w:tr w:rsidR="00A44AAE" w:rsidRPr="00A44AAE" w:rsidTr="00A44AAE">
        <w:trPr>
          <w:tblCellSpacing w:w="15" w:type="dxa"/>
        </w:trPr>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200 - 599 кв.м.</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01.06.2022</w:t>
            </w:r>
          </w:p>
        </w:tc>
      </w:tr>
      <w:tr w:rsidR="00A44AAE" w:rsidRPr="00A44AAE" w:rsidTr="00A44AAE">
        <w:trPr>
          <w:tblCellSpacing w:w="15" w:type="dxa"/>
        </w:trPr>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44AAE" w:rsidRPr="00A44AAE" w:rsidRDefault="00A44AAE" w:rsidP="00A44AAE">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менее 200 кв. м.</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01.10.2022</w:t>
            </w:r>
          </w:p>
        </w:tc>
      </w:tr>
      <w:tr w:rsidR="00A44AAE" w:rsidRPr="00A44AAE" w:rsidTr="00A44AAE">
        <w:trPr>
          <w:tblCellSpacing w:w="15" w:type="dxa"/>
        </w:trPr>
        <w:tc>
          <w:tcPr>
            <w:tcW w:w="67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3.</w:t>
            </w:r>
          </w:p>
        </w:tc>
        <w:tc>
          <w:tcPr>
            <w:tcW w:w="426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Павильоны, киоски</w:t>
            </w:r>
          </w:p>
        </w:tc>
        <w:tc>
          <w:tcPr>
            <w:tcW w:w="2415"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 </w:t>
            </w:r>
          </w:p>
        </w:tc>
        <w:tc>
          <w:tcPr>
            <w:tcW w:w="2520" w:type="dxa"/>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до 01.10.2022</w:t>
            </w:r>
          </w:p>
        </w:tc>
      </w:tr>
    </w:tbl>
    <w:p w:rsidR="00A44AAE" w:rsidRPr="00A44AAE" w:rsidRDefault="00A44AAE" w:rsidP="00A44AAE">
      <w:pPr>
        <w:spacing w:after="0" w:line="240" w:lineRule="auto"/>
        <w:rPr>
          <w:rFonts w:ascii="Arial" w:eastAsia="Times New Roman" w:hAnsi="Arial" w:cs="Arial"/>
          <w:vanish/>
          <w:color w:val="000000"/>
          <w:sz w:val="24"/>
          <w:szCs w:val="24"/>
          <w:lang w:eastAsia="ru-RU"/>
        </w:rPr>
      </w:pPr>
    </w:p>
    <w:tbl>
      <w:tblPr>
        <w:tblW w:w="9855" w:type="dxa"/>
        <w:tblCellSpacing w:w="15" w:type="dxa"/>
        <w:tblCellMar>
          <w:top w:w="15" w:type="dxa"/>
          <w:left w:w="15" w:type="dxa"/>
          <w:bottom w:w="15" w:type="dxa"/>
          <w:right w:w="15" w:type="dxa"/>
        </w:tblCellMar>
        <w:tblLook w:val="04A0" w:firstRow="1" w:lastRow="0" w:firstColumn="1" w:lastColumn="0" w:noHBand="0" w:noVBand="1"/>
      </w:tblPr>
      <w:tblGrid>
        <w:gridCol w:w="9855"/>
      </w:tblGrid>
      <w:tr w:rsidR="00A44AAE" w:rsidRPr="00A44AAE" w:rsidTr="00A44AAE">
        <w:trPr>
          <w:tblCellSpacing w:w="15" w:type="dxa"/>
        </w:trPr>
        <w:tc>
          <w:tcPr>
            <w:tcW w:w="0" w:type="auto"/>
            <w:vAlign w:val="center"/>
            <w:hideMark/>
          </w:tcPr>
          <w:p w:rsidR="00A44AAE" w:rsidRPr="00A44AAE" w:rsidRDefault="00A44AAE" w:rsidP="00A44AAE">
            <w:pPr>
              <w:spacing w:before="100" w:beforeAutospacing="1" w:after="100" w:afterAutospacing="1" w:line="240" w:lineRule="auto"/>
              <w:rPr>
                <w:rFonts w:ascii="Times New Roman" w:eastAsia="Times New Roman" w:hAnsi="Times New Roman" w:cs="Times New Roman"/>
                <w:sz w:val="24"/>
                <w:szCs w:val="24"/>
                <w:lang w:eastAsia="ru-RU"/>
              </w:rPr>
            </w:pPr>
            <w:r w:rsidRPr="00A44AAE">
              <w:rPr>
                <w:rFonts w:ascii="Times New Roman" w:eastAsia="Times New Roman" w:hAnsi="Times New Roman" w:cs="Times New Roman"/>
                <w:sz w:val="24"/>
                <w:szCs w:val="24"/>
                <w:lang w:eastAsia="ru-RU"/>
              </w:rPr>
              <w:t> </w:t>
            </w:r>
          </w:p>
        </w:tc>
      </w:tr>
    </w:tbl>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 </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 </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Напоминаем, что пунктом 3 Положения о маркировке товаров средствами идентификации, утвержденного Указом Президента Республики Беларусь от 10.06.2011 № 243 «О маркировке товаров» (далее - Указ № 243)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обязаны использовать товарно-транспортные и (или) товарные накладные, создаваемые в виде электронных документов (далее - электронные накладные), в которых указана информация о нанесенных средствах идентификации.</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В соответствии с пунктом 10 Приложения 3 к Указу № 243 под оборотом товаров понимается ввоз,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Учитывая изложенное, требование об обязательном использовании электронных накладных при обороте товаров с незащищенным средством идентификации распространяется, в том числе на субъектов хозяйствования, осуществляющих приобретение и последующую реализацию таких товаров.</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Справочно. Перечень товаров, подлежащих маркировке средствами идентификации, определен в приложении 2 к постановлению Совета Министров Республики Беларусь от 29 июля 2011 г. № 1030 (далее - Перечень).</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Одновременно обращаем внимание, что при ввозе товаров, подлежащих маркировке средствами идентификации, на территорию Республики Беларусь при трансграничной торговле (например, из Российской Федерации) товары, включенные в Перечень, должны быть промаркированы. При этом Указом № 243 и Соглашением о маркировке товаров средствами идентификации в Евразийском экономическом союзе от 02.02.2018 предусмотрено взаимное признание средств идентификации между государствами-членами Евразийского экономического союза при введении на их территориях маркировки товаров средствами идентификации.</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lastRenderedPageBreak/>
        <w:t>Так, с даты введения в Республике Беларусь маркировки средствами идентификации в отношении молочной продукции, товаров легкой промышленности, шин и покрышек резиновых новых, а также обуви признаются средства идентификации российского образца, нанесенные на такие товары, и ввезенные с территории Российской Федерации.</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В свою очередь в Российской Федерации маркировка товаров осуществляется только незащищенными средствами идентификации.</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Учитывая изложенное, субъекты хозяйствования, осуществляющие оборот (в том числе оптовую и розничную торговлю) товаров (в том числе молочной продукции), включенных в Перечень и маркированных незащищенными средствами идентификации (в том числе ввезенными с территории Российской Федерации), обязаны использовать электронные накладные.</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В свою очередь в рамках реализации Комплексного плана по поддержке экономики до 31.12.2022 установлен мораторий на применение контролирующими органами мер ответственности за необеспечение субъектами хозяйствования использования электронных накладных при обороте товаров, подлежащих маркировке (далее - мораторий).</w:t>
      </w:r>
    </w:p>
    <w:p w:rsidR="00A44AAE" w:rsidRPr="00A44AAE" w:rsidRDefault="00A44AAE" w:rsidP="00A44AAE">
      <w:pPr>
        <w:spacing w:before="100" w:beforeAutospacing="1" w:after="100" w:afterAutospacing="1" w:line="240" w:lineRule="auto"/>
        <w:rPr>
          <w:rFonts w:ascii="Arial" w:eastAsia="Times New Roman" w:hAnsi="Arial" w:cs="Arial"/>
          <w:b/>
          <w:color w:val="000000"/>
          <w:sz w:val="24"/>
          <w:szCs w:val="24"/>
          <w:lang w:eastAsia="ru-RU"/>
        </w:rPr>
      </w:pPr>
      <w:r w:rsidRPr="00A44AAE">
        <w:rPr>
          <w:rFonts w:ascii="Arial" w:eastAsia="Times New Roman" w:hAnsi="Arial" w:cs="Arial"/>
          <w:b/>
          <w:color w:val="000000"/>
          <w:sz w:val="24"/>
          <w:szCs w:val="24"/>
          <w:lang w:eastAsia="ru-RU"/>
        </w:rPr>
        <w:t>Меры ответственности по статье 13.12 «Нарушение порядка приобретения, хранения, использования в производстве, транспортировки, отпуска и реализации товаров» Кодекса Республики Беларусь об административных правонарушениях за неприменение электронных накладных при обороте товаров, маркированных незащищенными средствами идентификации, до 31.12.2022 применяться не будут.</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Установление моратория направлено на создание благоприятных условий для перехода субъектов хозяйствования на использование электронных накладных.</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До 31 декабря 2022 года субъекты хозяйствования должны предпринять необходимые действия, чтобы с 1 января 2023 года обеспечить использование электронных накладных при обороте товаров, подлежащих маркировке.</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Справочно. Порядок создания, передачи и получения электронных накладных в Республике Беларусь регламентирован постановлением Совета Министров Республики Беларусь от 30 декабря 2019 г. № 940 «О функционировании механизма электронных накладных».</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Алгоритм действий субъектов хозяйствования по внедрению электронных накладных:</w:t>
      </w:r>
    </w:p>
    <w:p w:rsidR="00A44AAE" w:rsidRPr="00A44AAE" w:rsidRDefault="00A44AAE" w:rsidP="00A44AAE">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Проанализировать ассортимент реализуемой продукции на предмет включения ее в перечень товаров, подлежащих маркировке средствами идентификации.</w:t>
      </w:r>
    </w:p>
    <w:p w:rsidR="00A44AAE" w:rsidRPr="00A44AAE" w:rsidRDefault="00A44AAE" w:rsidP="00A44AAE">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Опросить поставщиков реализуемых товаров, включенных в перечень товаров, подлежащих маркировке средствами идентификации, на предмет планируемого ими способа нанесения средства идентификации на товары:</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без использования полиграфически защищенных материальных носителей или знаков защиты;</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lastRenderedPageBreak/>
        <w:t>с использованием полиграфически защищенных материальных носителей или знаков защиты.</w:t>
      </w:r>
    </w:p>
    <w:p w:rsidR="00A44AAE" w:rsidRPr="00A44AAE" w:rsidRDefault="00A44AAE" w:rsidP="00A44AAE">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Получить международный идентификационный код участника хозяйственной операции (глобальный номер расположения - Global Location Number (GLN), присваиваемый системой автоматической идентификации ГС1 Беларуси.</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Справочно. Указанный реквизит является обязательным для заполнения при составлении электронных накладных.</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Получение GLN осуществляется в ассоциации ГС1 Беларуси (г. Минск, ул. Судмалиса, 22, 4 этаж, тел.: (+375 17) 298-09-13, 298-06-60, 230-89-52; факс (+375 17) 298-03</w:t>
      </w:r>
      <w:r w:rsidRPr="00A44AAE">
        <w:rPr>
          <w:rFonts w:ascii="Arial" w:eastAsia="Times New Roman" w:hAnsi="Arial" w:cs="Arial"/>
          <w:color w:val="000000"/>
          <w:sz w:val="24"/>
          <w:szCs w:val="24"/>
          <w:lang w:eastAsia="ru-RU"/>
        </w:rPr>
        <w:softHyphen/>
        <w:t>01, e-mail: </w:t>
      </w:r>
      <w:hyperlink r:id="rId6" w:history="1">
        <w:r w:rsidRPr="00A44AAE">
          <w:rPr>
            <w:rFonts w:ascii="Arial" w:eastAsia="Times New Roman" w:hAnsi="Arial" w:cs="Arial"/>
            <w:color w:val="E24D24"/>
            <w:sz w:val="24"/>
            <w:szCs w:val="24"/>
            <w:u w:val="single"/>
            <w:lang w:eastAsia="ru-RU"/>
          </w:rPr>
          <w:t>info@gs1by.by</w:t>
        </w:r>
      </w:hyperlink>
      <w:r w:rsidRPr="00A44AAE">
        <w:rPr>
          <w:rFonts w:ascii="Arial" w:eastAsia="Times New Roman" w:hAnsi="Arial" w:cs="Arial"/>
          <w:color w:val="000000"/>
          <w:sz w:val="24"/>
          <w:szCs w:val="24"/>
          <w:lang w:eastAsia="ru-RU"/>
        </w:rPr>
        <w:t>, прейскурант размещен на: </w:t>
      </w:r>
      <w:hyperlink r:id="rId7" w:history="1">
        <w:r w:rsidRPr="00A44AAE">
          <w:rPr>
            <w:rFonts w:ascii="Arial" w:eastAsia="Times New Roman" w:hAnsi="Arial" w:cs="Arial"/>
            <w:color w:val="E24D24"/>
            <w:sz w:val="24"/>
            <w:szCs w:val="24"/>
            <w:u w:val="single"/>
            <w:lang w:eastAsia="ru-RU"/>
          </w:rPr>
          <w:t>http://gs1by.by/</w:t>
        </w:r>
      </w:hyperlink>
      <w:r w:rsidRPr="00A44AAE">
        <w:rPr>
          <w:rFonts w:ascii="Arial" w:eastAsia="Times New Roman" w:hAnsi="Arial" w:cs="Arial"/>
          <w:color w:val="000000"/>
          <w:sz w:val="24"/>
          <w:szCs w:val="24"/>
          <w:lang w:eastAsia="ru-RU"/>
        </w:rPr>
        <w:t>).</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Справочно. Пошаговая инструкция размещена </w:t>
      </w:r>
      <w:hyperlink r:id="rId8" w:history="1">
        <w:r w:rsidRPr="00A44AAE">
          <w:rPr>
            <w:rFonts w:ascii="Arial" w:eastAsia="Times New Roman" w:hAnsi="Arial" w:cs="Arial"/>
            <w:i/>
            <w:iCs/>
            <w:color w:val="E24D24"/>
            <w:sz w:val="24"/>
            <w:szCs w:val="24"/>
            <w:u w:val="single"/>
            <w:lang w:eastAsia="ru-RU"/>
          </w:rPr>
          <w:t>по ссылке</w:t>
        </w:r>
      </w:hyperlink>
      <w:r w:rsidRPr="00A44AAE">
        <w:rPr>
          <w:rFonts w:ascii="Arial" w:eastAsia="Times New Roman" w:hAnsi="Arial" w:cs="Arial"/>
          <w:color w:val="000000"/>
          <w:sz w:val="24"/>
          <w:szCs w:val="24"/>
          <w:lang w:eastAsia="ru-RU"/>
        </w:rPr>
        <w:t>.</w:t>
      </w:r>
    </w:p>
    <w:p w:rsidR="00A44AAE" w:rsidRPr="00A44AAE" w:rsidRDefault="00A44AAE" w:rsidP="00A44AAE">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Получить электронную цифровую подпись (далее - ЭЦП) для лица (лиц), осуществляющих приемку товаров и подписание накладных (в случае их отсутствия).</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Возможно осуществить в Республиканском унитарном предприятии «Национальный центр электронных услуг» (далее - НЦЭУ) (г. Минск, пр. Машерова, 25, пом. 200, тел. (017) 311 30 00 (доб. 707) либо в иных региональных регистрационных центрах, перечень которых размещен на сайте НЦЭУ </w:t>
      </w:r>
      <w:hyperlink r:id="rId9" w:history="1">
        <w:r w:rsidRPr="00A44AAE">
          <w:rPr>
            <w:rFonts w:ascii="Arial" w:eastAsia="Times New Roman" w:hAnsi="Arial" w:cs="Arial"/>
            <w:color w:val="E24D24"/>
            <w:sz w:val="24"/>
            <w:szCs w:val="24"/>
            <w:u w:val="single"/>
            <w:lang w:eastAsia="ru-RU"/>
          </w:rPr>
          <w:t>www.nces.by</w:t>
        </w:r>
      </w:hyperlink>
      <w:r w:rsidRPr="00A44AAE">
        <w:rPr>
          <w:rFonts w:ascii="Arial" w:eastAsia="Times New Roman" w:hAnsi="Arial" w:cs="Arial"/>
          <w:color w:val="000000"/>
          <w:sz w:val="24"/>
          <w:szCs w:val="24"/>
          <w:lang w:eastAsia="ru-RU"/>
        </w:rPr>
        <w:t>.</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Справочно. Информация и справочные документы по получению ЭЦП размещены по ссылке </w:t>
      </w:r>
      <w:hyperlink r:id="rId10" w:history="1">
        <w:r w:rsidRPr="00A44AAE">
          <w:rPr>
            <w:rFonts w:ascii="Arial" w:eastAsia="Times New Roman" w:hAnsi="Arial" w:cs="Arial"/>
            <w:i/>
            <w:iCs/>
            <w:color w:val="E24D24"/>
            <w:sz w:val="24"/>
            <w:szCs w:val="24"/>
            <w:u w:val="single"/>
            <w:lang w:eastAsia="ru-RU"/>
          </w:rPr>
          <w:t>https://nces.by/pki/</w:t>
        </w:r>
      </w:hyperlink>
      <w:r w:rsidRPr="00A44AAE">
        <w:rPr>
          <w:rFonts w:ascii="Arial" w:eastAsia="Times New Roman" w:hAnsi="Arial" w:cs="Arial"/>
          <w:color w:val="000000"/>
          <w:sz w:val="24"/>
          <w:szCs w:val="24"/>
          <w:lang w:eastAsia="ru-RU"/>
        </w:rPr>
        <w:t>.</w:t>
      </w:r>
    </w:p>
    <w:p w:rsidR="00A44AAE" w:rsidRPr="00A44AAE" w:rsidRDefault="00A44AAE" w:rsidP="00A44AAE">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Определить оператора электронного документооборота</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(EDI-провайдера), с использованием услуг которого будет осуществляться электронный документооборот в части электронных накладных, и заключить с ним договор.</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Справочно. В настоящее время операторами электронного документооборота (EDI- провайдерами), осуществляющими передачу и получение электронных накладных, являются 6 юридических лиц Республики Беларусь: ООО «Современные технологии торговли», ООО «Электронные документы и накладные», ООО «ЮрСпектр», РУП «Издательство «Белбланкавыд»,         РУП    «Производственное объединение</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«Белоруснефть» и ООО «Бидмартс».</w:t>
      </w:r>
    </w:p>
    <w:p w:rsidR="00A44AAE" w:rsidRPr="00A44AAE" w:rsidRDefault="00A44AAE" w:rsidP="00A44AAE">
      <w:p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t>Информация об аттестованных EDI-провайдерах и их контактных данных размещена на официальном сайте республиканского унитарного предприятия «Межотраслевой научно-практический центр систем идентификации и электронных деловых операций» Национальной академии наук Беларуси по адресу: </w:t>
      </w:r>
      <w:hyperlink r:id="rId11" w:history="1">
        <w:r w:rsidRPr="00A44AAE">
          <w:rPr>
            <w:rFonts w:ascii="Arial" w:eastAsia="Times New Roman" w:hAnsi="Arial" w:cs="Arial"/>
            <w:i/>
            <w:iCs/>
            <w:color w:val="E24D24"/>
            <w:sz w:val="24"/>
            <w:szCs w:val="24"/>
            <w:u w:val="single"/>
            <w:lang w:eastAsia="ru-RU"/>
          </w:rPr>
          <w:t>https://ids.by/index.php?option=com_content&amp;view=article&amp;id=226&amp;Itemid=43#REESTR</w:t>
        </w:r>
      </w:hyperlink>
    </w:p>
    <w:p w:rsidR="00A44AAE" w:rsidRPr="00A44AAE" w:rsidRDefault="00A44AAE" w:rsidP="00A44AAE">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44AAE">
        <w:rPr>
          <w:rFonts w:ascii="Arial" w:eastAsia="Times New Roman" w:hAnsi="Arial" w:cs="Arial"/>
          <w:color w:val="000000"/>
          <w:sz w:val="24"/>
          <w:szCs w:val="24"/>
          <w:lang w:eastAsia="ru-RU"/>
        </w:rPr>
        <w:lastRenderedPageBreak/>
        <w:t>По результатам проведенных консультаций с выбранным EDI-провайдером подготовить рабочее место и наладить информационное</w:t>
      </w:r>
      <w:r>
        <w:rPr>
          <w:rFonts w:ascii="Arial" w:eastAsia="Times New Roman" w:hAnsi="Arial" w:cs="Arial"/>
          <w:color w:val="000000"/>
          <w:sz w:val="24"/>
          <w:szCs w:val="24"/>
          <w:lang w:eastAsia="ru-RU"/>
        </w:rPr>
        <w:t xml:space="preserve"> </w:t>
      </w:r>
      <w:r w:rsidRPr="00A44AAE">
        <w:rPr>
          <w:rFonts w:ascii="Arial" w:eastAsia="Times New Roman" w:hAnsi="Arial" w:cs="Arial"/>
          <w:color w:val="000000"/>
          <w:sz w:val="24"/>
          <w:szCs w:val="24"/>
          <w:lang w:eastAsia="ru-RU"/>
        </w:rPr>
        <w:t>взаимодействие между учетной системой, применяемой предприятием, с информационной системой электронного документооборота EDI-провайдера (при необходимости).</w:t>
      </w:r>
    </w:p>
    <w:p w:rsidR="00C53043" w:rsidRDefault="00C53043"/>
    <w:sectPr w:rsidR="00C53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CAB"/>
    <w:multiLevelType w:val="multilevel"/>
    <w:tmpl w:val="B1D0F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C63C64"/>
    <w:multiLevelType w:val="multilevel"/>
    <w:tmpl w:val="0D3E7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053239"/>
    <w:multiLevelType w:val="multilevel"/>
    <w:tmpl w:val="CF7C4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FF09E5"/>
    <w:multiLevelType w:val="multilevel"/>
    <w:tmpl w:val="8690A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D278F"/>
    <w:multiLevelType w:val="multilevel"/>
    <w:tmpl w:val="A7F0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EB"/>
    <w:rsid w:val="00684CEB"/>
    <w:rsid w:val="00A44AAE"/>
    <w:rsid w:val="00C5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4843">
      <w:bodyDiv w:val="1"/>
      <w:marLeft w:val="0"/>
      <w:marRight w:val="0"/>
      <w:marTop w:val="0"/>
      <w:marBottom w:val="0"/>
      <w:divBdr>
        <w:top w:val="none" w:sz="0" w:space="0" w:color="auto"/>
        <w:left w:val="none" w:sz="0" w:space="0" w:color="auto"/>
        <w:bottom w:val="none" w:sz="0" w:space="0" w:color="auto"/>
        <w:right w:val="none" w:sz="0" w:space="0" w:color="auto"/>
      </w:divBdr>
      <w:divsChild>
        <w:div w:id="633829289">
          <w:marLeft w:val="0"/>
          <w:marRight w:val="0"/>
          <w:marTop w:val="0"/>
          <w:marBottom w:val="0"/>
          <w:divBdr>
            <w:top w:val="none" w:sz="0" w:space="0" w:color="auto"/>
            <w:left w:val="none" w:sz="0" w:space="0" w:color="auto"/>
            <w:bottom w:val="none" w:sz="0" w:space="0" w:color="auto"/>
            <w:right w:val="none" w:sz="0" w:space="0" w:color="auto"/>
          </w:divBdr>
        </w:div>
        <w:div w:id="1273785139">
          <w:marLeft w:val="0"/>
          <w:marRight w:val="0"/>
          <w:marTop w:val="0"/>
          <w:marBottom w:val="0"/>
          <w:divBdr>
            <w:top w:val="none" w:sz="0" w:space="0" w:color="auto"/>
            <w:left w:val="none" w:sz="0" w:space="0" w:color="auto"/>
            <w:bottom w:val="none" w:sz="0" w:space="0" w:color="auto"/>
            <w:right w:val="none" w:sz="0" w:space="0" w:color="auto"/>
          </w:divBdr>
          <w:divsChild>
            <w:div w:id="1146816815">
              <w:marLeft w:val="0"/>
              <w:marRight w:val="0"/>
              <w:marTop w:val="0"/>
              <w:marBottom w:val="0"/>
              <w:divBdr>
                <w:top w:val="none" w:sz="0" w:space="0" w:color="auto"/>
                <w:left w:val="none" w:sz="0" w:space="0" w:color="auto"/>
                <w:bottom w:val="none" w:sz="0" w:space="0" w:color="auto"/>
                <w:right w:val="none" w:sz="0" w:space="0" w:color="auto"/>
              </w:divBdr>
            </w:div>
            <w:div w:id="16813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1by.by/%D0%BF%D0%BE%D0%BB%D1%83%D1%87%D0%B5%D0%BD%D0%B8%D0%B5-%D0%BD%D0%BE%D0%BC%D0%B5%D1%80%D0%B0-gl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s1by.by/%D0%BF%D0%BE%D0%BB%D1%83%D1%87%D0%B5%D0%BD%D0%B8%D0%B5-%D0%BD%D0%BE%D0%BC%D0%B5%D1%80%D0%B0-gl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s1by.by" TargetMode="External"/><Relationship Id="rId11" Type="http://schemas.openxmlformats.org/officeDocument/2006/relationships/hyperlink" Target="https://ids.by/index.php?option=com_content&amp;view=article&amp;id=226&amp;Itemid=43%23REESTR" TargetMode="External"/><Relationship Id="rId5" Type="http://schemas.openxmlformats.org/officeDocument/2006/relationships/webSettings" Target="webSettings.xml"/><Relationship Id="rId10" Type="http://schemas.openxmlformats.org/officeDocument/2006/relationships/hyperlink" Target="https://nces.by/pki/" TargetMode="External"/><Relationship Id="rId4" Type="http://schemas.openxmlformats.org/officeDocument/2006/relationships/settings" Target="settings.xml"/><Relationship Id="rId9" Type="http://schemas.openxmlformats.org/officeDocument/2006/relationships/hyperlink" Target="http://www.nces.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Лиозненского РИК</dc:creator>
  <cp:keywords/>
  <dc:description/>
  <cp:lastModifiedBy>Отдел экономики Лиозненского РИК</cp:lastModifiedBy>
  <cp:revision>2</cp:revision>
  <dcterms:created xsi:type="dcterms:W3CDTF">2022-09-30T06:39:00Z</dcterms:created>
  <dcterms:modified xsi:type="dcterms:W3CDTF">2022-09-30T06:41:00Z</dcterms:modified>
</cp:coreProperties>
</file>