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A47" w:rsidRPr="00790FFA" w:rsidRDefault="00A07A47" w:rsidP="004C1D34">
      <w:pPr>
        <w:spacing w:after="0" w:line="240" w:lineRule="auto"/>
        <w:jc w:val="both"/>
        <w:outlineLvl w:val="1"/>
        <w:rPr>
          <w:rFonts w:ascii="Tahoma" w:hAnsi="Tahoma" w:cs="Tahoma"/>
          <w:b/>
          <w:bCs/>
          <w:color w:val="001E69"/>
          <w:sz w:val="20"/>
          <w:szCs w:val="24"/>
          <w:lang w:eastAsia="ru-RU"/>
        </w:rPr>
      </w:pPr>
      <w:r w:rsidRPr="00790FFA">
        <w:rPr>
          <w:rFonts w:ascii="Tahoma" w:hAnsi="Tahoma" w:cs="Tahoma"/>
          <w:b/>
          <w:bCs/>
          <w:color w:val="001E69"/>
          <w:sz w:val="20"/>
          <w:szCs w:val="24"/>
          <w:lang w:eastAsia="ru-RU"/>
        </w:rPr>
        <w:t xml:space="preserve">О мерах по социальной поддержке отдельных категорий граждан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18 мая 2020 г. Президентом Республики Беларусь подписан </w:t>
      </w:r>
      <w:hyperlink r:id="rId4" w:history="1">
        <w:r w:rsidRPr="00790FFA">
          <w:rPr>
            <w:rFonts w:ascii="Tahoma" w:hAnsi="Tahoma" w:cs="Tahoma"/>
            <w:b/>
            <w:bCs/>
            <w:color w:val="88A4D3"/>
            <w:sz w:val="20"/>
            <w:u w:val="single"/>
            <w:lang w:eastAsia="ru-RU"/>
          </w:rPr>
          <w:t>Указ № 171 «О социальной поддержке отдельных категорий граждан»</w:t>
        </w:r>
      </w:hyperlink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.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Указом предусматривается: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 xml:space="preserve">Для многодетных матерей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 xml:space="preserve">• Увеличение предельного периода по уходу за детьми, засчитываемого в общий стаж для целей пенсионного обеспечения,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>с 9 до 12 лет в общей сложности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Для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матерей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, родивших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четверо и более детей, периоды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, когда они не работали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в связи с уходом за малолетними детьми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, будут засчитываться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в общий стаж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работы для назначения пенсии в пределах 12 лет. В настоящее время учитываются в пределах 9 лет.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 xml:space="preserve">ВАЖНО!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Норма Указа будет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применяться не только при первичных назначениях пенсий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женщинам, родившим четверых и более детей, но и к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пенсиям, назначенным до 1 января 2021 года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Пенсии будут перерасчитываться с учетом данной нормы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с первого числа месяца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, следующего за тем, в котором женщина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>обратится за перерасчетом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пенсии в установленном законодательством порядке (с заявлением и документами, подтверждающими рождение четверых и более детей и воспитание их до 3-летнего возраста (если таких документов нет в материалах пенсионного дела) в органы по труду, занятости и социальной защите.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>•  Уменьшение периода страхового стажа для назначения трудовой пенсии по возрасту по достижении общеустановленного пенсионного возраста женщинам, родившим четверых детей и воспитавшим их до 8-летнего возраста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Женщинам, родившим четверых детей и воспитавшим их до 8-летнего возраста,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трудовая пенсия по возрасту по достижении общеустановленного пенсионного возраста будет назначаться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при наличии общего стажа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не менее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20 лет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и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 xml:space="preserve">страхового стажа </w:t>
      </w:r>
      <w:r w:rsidRPr="00790FFA">
        <w:rPr>
          <w:rFonts w:ascii="Tahoma" w:hAnsi="Tahoma" w:cs="Tahoma"/>
          <w:color w:val="443F3F"/>
          <w:sz w:val="20"/>
          <w:szCs w:val="21"/>
          <w:u w:val="single"/>
          <w:lang w:eastAsia="ru-RU"/>
        </w:rPr>
        <w:t xml:space="preserve">не менее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>10 лет</w:t>
      </w:r>
      <w:r w:rsidRPr="00790FFA">
        <w:rPr>
          <w:rFonts w:ascii="Tahoma" w:hAnsi="Tahoma" w:cs="Tahoma"/>
          <w:color w:val="443F3F"/>
          <w:sz w:val="20"/>
          <w:szCs w:val="21"/>
          <w:u w:val="single"/>
          <w:lang w:eastAsia="ru-RU"/>
        </w:rPr>
        <w:t>.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i/>
          <w:iCs/>
          <w:color w:val="443F3F"/>
          <w:sz w:val="20"/>
          <w:szCs w:val="21"/>
          <w:lang w:eastAsia="ru-RU"/>
        </w:rPr>
        <w:t xml:space="preserve">Справочно: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Для назначения трудовой пенсии по возрасту на общих основаниях в соответствии с Законом Республики Беларусь «О пенсионном обеспечении» требуется наличие страхового стажа: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• в 2021 году - не менее 18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• в 2022 году - не менее 18 лет 6 месяцев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• в 2023 году - не менее 19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• в 2024 году - не менее 19 лет 6 месяцев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• в 2025 году - не менее 20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 xml:space="preserve">• Увеличение периода предоставления государственной адресной социальной помощи (ГАСП) в виде ежемесячного социального пособия, а также критерия нуждаемости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&lt;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Для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 xml:space="preserve">многодетных семей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период предоставления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государственной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адресной социальной помощи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в виде ежемесячного социального пособия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увеличивается с 6 до 12 месяцев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.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Кроме того, увеличивается критерий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нуждаемости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со 100 до 115 процентов бюджета прожиточного минимума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(БПМ) в среднем на душу населения для назначения такого пособия.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i/>
          <w:iCs/>
          <w:color w:val="443F3F"/>
          <w:sz w:val="20"/>
          <w:szCs w:val="21"/>
          <w:lang w:eastAsia="ru-RU"/>
        </w:rPr>
        <w:t>Справочно: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В настоящее время малообеспеченным семьям и гражданам предоставляется ежемесячное социальное пособие на срок до 6 месяцев. Размер пособия составляет положительную разность между критерием нуждаемости (100 процентов БПМ в среднем на душу населения) и среднедушевым доходом семьи (гражданина).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Сегодня размер БПМ в среднем на душу населения составляет 246,78 рублей.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 xml:space="preserve">Для семей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>• Проведение одной бесплатной попытки ЭКО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Супружеским парам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, в которых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оба супруга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являются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гражданами Республики Беларусь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и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возраст супруги не превышает 40 лет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, предоставляется право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на проведение одной бесплатной попытки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экстракорпорального оплодотворения (за исключением ЭКО с использованием донорских половых клеток) при наличии медицинских показаний и отсутствии противопоказаний.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Порядок и условия бесплатного предоставления ЭКО, перечень государственных организаций здравоохранения, в которых проводится ЭКО за счет бюджетных средств,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будут определены Советом Министров Республики Беларусь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>Для граждан с инвалидностью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 xml:space="preserve">• Снижение страхового и общего стажа для назначения трудовой пенсии по возрасту гражданам, которые являлись инвалидами I и (или) II группы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Снижение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>страхового стажа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гражданам, которые являлись инвалидами I и (или) II группы: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более 10 лет – на 6 месяцев за каждый полный год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нахождения на инвалидности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i/>
          <w:iCs/>
          <w:color w:val="443F3F"/>
          <w:sz w:val="20"/>
          <w:szCs w:val="21"/>
          <w:lang w:eastAsia="ru-RU"/>
        </w:rPr>
        <w:t>Справочно: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При нахождении на инвалидности I и (или) II группы: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11 лет – страховой стаж снижается на 5 лет 6 месяцев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12 лет – страховой стаж снижается на 6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13 лет – страховой стаж снижается на 6 лет 6 месяцев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14 лет – страховой стаж снижается на 7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15 лет – страховой стаж снижается на 7 лет 6 месяцев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16 лет – страховой стаж снижается на 8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17 лет – страховой стаж снижается на 8 лет 6 месяцев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18 лет – страховой стаж снижается на 9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19 лет – страховой стаж снижается на 9 лет 6 месяцев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20 лет – страховой стаж снижается на 10 лет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более 21 года – до 5 лет.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Одновременно для указанной категории лиц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снижено требование к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 xml:space="preserve">общему стажу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для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женщин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– с 20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до 15 лет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,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для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мужчин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– с 25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до 20 лет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Также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на 5 лет снижен общий стаж инвалидам с детства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I и (или) II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группы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для назначения досрочной пенсии по возрасту по статье 22 Закона Республики Беларусь «О пенсионном обеспечении».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По вопросу назначения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трудовой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пенсии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по возрасту с учетом данной нормы либо перевода с получаемой пенсии по инвалидности на пенсию по возрасту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необходимо обратиться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в установленном законодательством порядке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(с заявлением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и необходимыми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документами)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в органы по труду, занятости и социальной защите.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В этой связи обращаем внимание, что в соответствии с частью третьей статьи 68 Закона Республики Беларусь «О пенсионном обеспечении»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инвалидам с детства, инвалидность которым установлена пожизненно, пенсия по возрасту увеличивается на 50 процентов минимального размера пенсии по возрасту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(размер этого увеличения в мае 2020 г. составляет 30,85 руб.).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 xml:space="preserve">Для родителей детей-инвалидов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>• Увеличение размера социальной пенсии родителям детей-инвалидов с третьей и (или) четвертой степенью утраты здоровья, признанных впоследствии инвалидами с детства I группы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Для родителей детей-инвалидов с третьей и (или) четвертой степенью утраты здоровья, признанных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впоследствии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инвалидами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с детства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I группы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, осуществляющих уход за инвалидами не менее 20 лет,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размер социальной пенсии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увеличивается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до 130 процентов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наибольшей величины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бюджета прожиточного минимума пенсионера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за два последних квартала (БПМ пенсионера).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На сегодняшний день БПМ пенсионера составляет 187,22 руб.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130 процентов БПМ пенсионера – 243,4 руб.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i/>
          <w:iCs/>
          <w:color w:val="443F3F"/>
          <w:sz w:val="20"/>
          <w:szCs w:val="21"/>
          <w:lang w:eastAsia="ru-RU"/>
        </w:rPr>
        <w:t>Справочно: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В мае 2020 г. размер социальной пенсии у таких родителей детей-инвалидов составляет 123,4 руб.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Реализация данной меры позволит приблизить размеры социальной пенсии таким родителям к уровню пособия по уходу за инвалидом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I группы (246,78 руб.) и минимальной трудовой пенсии по возрасту (246,85 руб.). Таким образом, ее размер увеличится в 2 раза.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u w:val="single"/>
          <w:lang w:eastAsia="ru-RU"/>
        </w:rPr>
        <w:t xml:space="preserve">Для других категорий граждан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>• Предоставление лицам, имеющим страховой стаж не менее 10 лет, но менее требуемого полного страхового стажа, права на трудовую пенсию по возрасту при неполном страховом стаже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При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определении размера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такой пенсии будет учитываться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только страховой стаж.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При наличии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10 лет страхового стажа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размер пенсии составит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73 процента БПМ пенсионера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. За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каждый полный год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страхового стажа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сверх 10 лет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пенсия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дополнительно увеличивается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на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3 процента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указанной величины, но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не более чем до 100 процентов этой величины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Женщины, достигшие возраста 60 лет и мужчины - 65 лет, приобретут право на трудовую пенсию по возрасту при неполном страховом стаже при наличии страхового стажа: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от 10 до 17 лет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- в 2021 году в размере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от 73 до 94 процентов БПМ пенсионера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18 лет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- в 2022 году в размере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97 процентов БПМ пенсионера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19 лет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- в 2023 году в размере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100 процентов БПМ пенсионера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Таким образом, при 19 годах страхового стажа трудовая пенсия по возрасту при неполном страховом стаже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увеличится в 1,5 раза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по сравнению с социальной пенсией (в мае 2020 г размер социальной пенсии составляет 123,4 руб.)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i/>
          <w:iCs/>
          <w:color w:val="443F3F"/>
          <w:sz w:val="20"/>
          <w:szCs w:val="21"/>
          <w:lang w:eastAsia="ru-RU"/>
        </w:rPr>
        <w:t>Справочно: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В 2021 году для назначения трудовой пенсии по возрасту на общих основаниях в полном размере потребуется наличие страхового стажа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не менее 18 лет.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FF0000"/>
          <w:sz w:val="20"/>
          <w:szCs w:val="21"/>
          <w:lang w:eastAsia="ru-RU"/>
        </w:rPr>
        <w:t xml:space="preserve">•  Расширение круга лиц, которым может назначаться трудовая пенсия по случаю потери кормильца (смерти кормильца)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Предоставляется право на пенсию по случаю потери кормильца: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-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лицам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>, которым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 по месту работы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предоставлен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отпуск по уходу за ребенком до достижения им возраста 3 лет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(при условии, что они не являются индивидуальными предпринимателями, нотариусами, адвокатами, лицами, осуществляющими виды ремесленной деятельности),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-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лицам,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 которые являются индивидуальными предпринимателями, нотариусами, адвокатами, лицами, осуществляющими виды ремесленной деятельности, но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 xml:space="preserve">приостановили 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соответствующую деятельность на период осуществления </w:t>
      </w:r>
      <w:r w:rsidRPr="00790FFA">
        <w:rPr>
          <w:rFonts w:ascii="Tahoma" w:hAnsi="Tahoma" w:cs="Tahoma"/>
          <w:b/>
          <w:bCs/>
          <w:color w:val="443F3F"/>
          <w:sz w:val="20"/>
          <w:szCs w:val="21"/>
          <w:lang w:eastAsia="ru-RU"/>
        </w:rPr>
        <w:t>ухода за ребенком до достижения им трехлетнего возраста</w:t>
      </w: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Меры, предусмотренные Указом (за исключением меры, касающейся государственной адресной социальной помощи (ГАСП) многодетным семьям), вступают в силу с 1 января 2021 г. </w:t>
      </w: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</w:p>
    <w:p w:rsidR="00A07A47" w:rsidRPr="00790FFA" w:rsidRDefault="00A07A47" w:rsidP="004C1D34">
      <w:pPr>
        <w:spacing w:after="0" w:line="240" w:lineRule="auto"/>
        <w:jc w:val="both"/>
        <w:rPr>
          <w:rFonts w:ascii="Tahoma" w:hAnsi="Tahoma" w:cs="Tahoma"/>
          <w:color w:val="443F3F"/>
          <w:sz w:val="20"/>
          <w:szCs w:val="21"/>
          <w:lang w:eastAsia="ru-RU"/>
        </w:rPr>
      </w:pPr>
      <w:r w:rsidRPr="00790FFA">
        <w:rPr>
          <w:rFonts w:ascii="Tahoma" w:hAnsi="Tahoma" w:cs="Tahoma"/>
          <w:color w:val="443F3F"/>
          <w:sz w:val="20"/>
          <w:szCs w:val="21"/>
          <w:lang w:eastAsia="ru-RU"/>
        </w:rPr>
        <w:t xml:space="preserve">Мера, касающаяся ГАСП многодетным семьям, вступает в силу с 1 сентября 2020 г. </w:t>
      </w:r>
    </w:p>
    <w:p w:rsidR="00A07A47" w:rsidRPr="00790FFA" w:rsidRDefault="00A07A47">
      <w:pPr>
        <w:rPr>
          <w:sz w:val="20"/>
        </w:rPr>
      </w:pPr>
    </w:p>
    <w:sectPr w:rsidR="00A07A47" w:rsidRPr="00790FFA" w:rsidSect="00790FFA">
      <w:pgSz w:w="11906" w:h="16838"/>
      <w:pgMar w:top="567" w:right="851" w:bottom="36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1D34"/>
    <w:rsid w:val="002D3798"/>
    <w:rsid w:val="004C1D34"/>
    <w:rsid w:val="0064286F"/>
    <w:rsid w:val="00790FFA"/>
    <w:rsid w:val="008502EE"/>
    <w:rsid w:val="00A07A47"/>
    <w:rsid w:val="00A32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798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C1D34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1E69"/>
      <w:kern w:val="36"/>
      <w:sz w:val="27"/>
      <w:szCs w:val="27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4C1D34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001E69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1D34"/>
    <w:rPr>
      <w:rFonts w:ascii="Times New Roman" w:hAnsi="Times New Roman" w:cs="Times New Roman"/>
      <w:b/>
      <w:bCs/>
      <w:color w:val="001E69"/>
      <w:kern w:val="36"/>
      <w:sz w:val="27"/>
      <w:szCs w:val="27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1D34"/>
    <w:rPr>
      <w:rFonts w:ascii="Times New Roman" w:hAnsi="Times New Roman" w:cs="Times New Roman"/>
      <w:b/>
      <w:bCs/>
      <w:color w:val="001E69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rsid w:val="004C1D34"/>
    <w:rPr>
      <w:rFonts w:cs="Times New Roman"/>
      <w:color w:val="88A4D3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C1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C1D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695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929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intrud.gov.by/system/extensions/spaw/uploads/files/Ukaz-18.05.2020-171-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</TotalTime>
  <Pages>3</Pages>
  <Words>1315</Words>
  <Characters>7498</Characters>
  <Application>Microsoft Office Outlook</Application>
  <DocSecurity>0</DocSecurity>
  <Lines>0</Lines>
  <Paragraphs>0</Paragraphs>
  <ScaleCrop>false</ScaleCrop>
  <Company>UTZSZ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sadovnikova</dc:creator>
  <cp:keywords/>
  <dc:description/>
  <cp:lastModifiedBy>Comp</cp:lastModifiedBy>
  <cp:revision>2</cp:revision>
  <dcterms:created xsi:type="dcterms:W3CDTF">2020-05-28T10:50:00Z</dcterms:created>
  <dcterms:modified xsi:type="dcterms:W3CDTF">2020-05-28T12:35:00Z</dcterms:modified>
</cp:coreProperties>
</file>