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82673" w14:textId="22ADB133" w:rsidR="00000000" w:rsidRDefault="00000000">
      <w:pPr>
        <w:pStyle w:val="newncpi0"/>
        <w:jc w:val="center"/>
        <w:divId w:val="11760415"/>
        <w:rPr>
          <w:lang w:val="ru-RU"/>
          <w14:ligatures w14:val="none"/>
        </w:rPr>
      </w:pPr>
    </w:p>
    <w:p w14:paraId="1A4800EA" w14:textId="77777777" w:rsidR="00000000" w:rsidRDefault="00000000">
      <w:pPr>
        <w:pStyle w:val="newncpi0"/>
        <w:jc w:val="center"/>
        <w:divId w:val="11760415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РЕШЕНИЕ </w:t>
      </w:r>
      <w:r>
        <w:rPr>
          <w:rStyle w:val="promulgator"/>
          <w:lang w:val="ru-RU"/>
        </w:rPr>
        <w:t>ВИТЕБСКОГО ОБЛАСТНОГО ИСПОЛНИТЕЛЬНОГО КОМИТЕТА</w:t>
      </w:r>
    </w:p>
    <w:p w14:paraId="5757E381" w14:textId="77777777" w:rsidR="00000000" w:rsidRDefault="00000000">
      <w:pPr>
        <w:pStyle w:val="newncpi"/>
        <w:ind w:firstLine="0"/>
        <w:jc w:val="center"/>
        <w:divId w:val="11760415"/>
        <w:rPr>
          <w:lang w:val="ru-RU"/>
        </w:rPr>
      </w:pPr>
      <w:r>
        <w:rPr>
          <w:rStyle w:val="datepr"/>
          <w:lang w:val="ru-RU"/>
        </w:rPr>
        <w:t>19 сентября 2024 г.</w:t>
      </w:r>
      <w:r>
        <w:rPr>
          <w:rStyle w:val="number"/>
          <w:lang w:val="ru-RU"/>
        </w:rPr>
        <w:t xml:space="preserve"> № 593</w:t>
      </w:r>
    </w:p>
    <w:p w14:paraId="61BFA52D" w14:textId="77777777" w:rsidR="00000000" w:rsidRDefault="00000000">
      <w:pPr>
        <w:pStyle w:val="titlencpi"/>
        <w:divId w:val="11760415"/>
        <w:rPr>
          <w:lang w:val="ru-RU"/>
        </w:rPr>
      </w:pPr>
      <w:r>
        <w:rPr>
          <w:color w:val="000080"/>
          <w:lang w:val="ru-RU"/>
        </w:rPr>
        <w:t>О тарифах на услуги воспитательно-оздоровительных, спортивно-оздоровительных лагерей</w:t>
      </w:r>
    </w:p>
    <w:p w14:paraId="10309CF9" w14:textId="709B42E6" w:rsidR="00000000" w:rsidRDefault="00000000">
      <w:pPr>
        <w:pStyle w:val="preamble"/>
        <w:divId w:val="11760415"/>
        <w:rPr>
          <w:lang w:val="ru-RU"/>
        </w:rPr>
      </w:pPr>
      <w:r>
        <w:rPr>
          <w:lang w:val="ru-RU"/>
        </w:rPr>
        <w:t xml:space="preserve">На основании </w:t>
      </w:r>
      <w:hyperlink r:id="rId4" w:anchor="a10" w:tooltip="+" w:history="1">
        <w:r>
          <w:rPr>
            <w:rStyle w:val="a3"/>
            <w:lang w:val="ru-RU"/>
          </w:rPr>
          <w:t>подпункта 2.1</w:t>
        </w:r>
      </w:hyperlink>
      <w:r>
        <w:rPr>
          <w:lang w:val="ru-RU"/>
        </w:rPr>
        <w:t xml:space="preserve"> пункта 2 Указа Президента Республики Беларусь от 25 февраля 2011 г. № 72 «О некоторых вопросах регулирования цен (тарифов) в Республике Беларусь», </w:t>
      </w:r>
      <w:hyperlink r:id="rId5" w:anchor="a100" w:tooltip="+" w:history="1">
        <w:r>
          <w:rPr>
            <w:rStyle w:val="a3"/>
            <w:lang w:val="ru-RU"/>
          </w:rPr>
          <w:t>подпункта 1.2</w:t>
        </w:r>
      </w:hyperlink>
      <w:r>
        <w:rPr>
          <w:lang w:val="ru-RU"/>
        </w:rPr>
        <w:t xml:space="preserve"> пункта 1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 Совета Министров Республики Беларусь» Витебский областной исполнительный комитет РЕШИЛ:</w:t>
      </w:r>
    </w:p>
    <w:p w14:paraId="3402A5F8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 xml:space="preserve">1. Утвердить </w:t>
      </w:r>
      <w:hyperlink w:anchor="a2" w:tooltip="+" w:history="1">
        <w:r>
          <w:rPr>
            <w:rStyle w:val="a3"/>
            <w:lang w:val="ru-RU"/>
          </w:rPr>
          <w:t>Инструкцию</w:t>
        </w:r>
      </w:hyperlink>
      <w:r>
        <w:rPr>
          <w:lang w:val="ru-RU"/>
        </w:rPr>
        <w:t xml:space="preserve"> о порядке установления и применения тарифов на услуги воспитательно-оздоровительных, спортивно-оздоровительных лагерей, расположенных на территории Витебской области (прилагается).</w:t>
      </w:r>
    </w:p>
    <w:p w14:paraId="64A5E6B2" w14:textId="77777777" w:rsidR="00000000" w:rsidRDefault="00000000">
      <w:pPr>
        <w:pStyle w:val="point"/>
        <w:divId w:val="11760415"/>
        <w:rPr>
          <w:lang w:val="ru-RU"/>
        </w:rPr>
      </w:pPr>
      <w:bookmarkStart w:id="1" w:name="a3"/>
      <w:bookmarkEnd w:id="1"/>
      <w:r>
        <w:rPr>
          <w:lang w:val="ru-RU"/>
        </w:rPr>
        <w:t>2. Признать утратившими силу:</w:t>
      </w:r>
    </w:p>
    <w:p w14:paraId="4B901F11" w14:textId="762FA586" w:rsidR="00000000" w:rsidRDefault="00000000">
      <w:pPr>
        <w:pStyle w:val="newncpi"/>
        <w:divId w:val="11760415"/>
        <w:rPr>
          <w:lang w:val="ru-RU"/>
        </w:rPr>
      </w:pPr>
      <w:hyperlink r:id="rId6" w:anchor="a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Витебского областного исполнительного комитета от 30 апреля 2015 г. № 274 «О некоторых вопросах ценового регулирования услуг оздоровительных лагерей Витебской области»;</w:t>
      </w:r>
    </w:p>
    <w:p w14:paraId="7304B84C" w14:textId="110B5227" w:rsidR="00000000" w:rsidRDefault="00000000">
      <w:pPr>
        <w:pStyle w:val="newncpi"/>
        <w:divId w:val="11760415"/>
        <w:rPr>
          <w:lang w:val="ru-RU"/>
        </w:rPr>
      </w:pPr>
      <w:hyperlink r:id="rId7" w:anchor="a1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Витебского областного исполнительного комитета от 18 апреля 2022 г. № 210 «Об изменении решения Витебского областного исполнительного комитета от 30 апреля 2015 г. № 274».</w:t>
      </w:r>
    </w:p>
    <w:p w14:paraId="171F35BF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3. Настоящее решение вступает в силу после его официального опубликования.</w:t>
      </w:r>
    </w:p>
    <w:p w14:paraId="235D96DD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4986"/>
      </w:tblGrid>
      <w:tr w:rsidR="00000000" w14:paraId="61994F07" w14:textId="77777777">
        <w:trPr>
          <w:divId w:val="1176041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7151C8" w14:textId="77777777" w:rsidR="00000000" w:rsidRDefault="0000000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5B5A06" w14:textId="77777777" w:rsidR="00000000" w:rsidRDefault="00000000">
            <w:pPr>
              <w:pStyle w:val="newncpi0"/>
              <w:jc w:val="right"/>
            </w:pPr>
            <w:r>
              <w:rPr>
                <w:rStyle w:val="pers"/>
              </w:rPr>
              <w:t>А.М.Субботин</w:t>
            </w:r>
          </w:p>
        </w:tc>
      </w:tr>
    </w:tbl>
    <w:p w14:paraId="517997E2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 </w:t>
      </w:r>
    </w:p>
    <w:p w14:paraId="40C498DC" w14:textId="77777777" w:rsidR="00000000" w:rsidRDefault="00000000">
      <w:pPr>
        <w:pStyle w:val="agree"/>
        <w:divId w:val="11760415"/>
        <w:rPr>
          <w:lang w:val="ru-RU"/>
        </w:rPr>
      </w:pPr>
      <w:r>
        <w:rPr>
          <w:lang w:val="ru-RU"/>
        </w:rPr>
        <w:t>СОГЛАСОВАНО</w:t>
      </w:r>
    </w:p>
    <w:p w14:paraId="51290F01" w14:textId="77777777" w:rsidR="00000000" w:rsidRDefault="00000000">
      <w:pPr>
        <w:pStyle w:val="agree"/>
        <w:divId w:val="11760415"/>
        <w:rPr>
          <w:lang w:val="ru-RU"/>
        </w:rPr>
      </w:pPr>
      <w:r>
        <w:rPr>
          <w:lang w:val="ru-RU"/>
        </w:rPr>
        <w:t>Министерство антимонопольного</w:t>
      </w:r>
      <w:r>
        <w:rPr>
          <w:lang w:val="ru-RU"/>
        </w:rPr>
        <w:br/>
        <w:t>регулирования и торговли</w:t>
      </w:r>
      <w:r>
        <w:rPr>
          <w:lang w:val="ru-RU"/>
        </w:rPr>
        <w:br/>
        <w:t>Республики Беларусь</w:t>
      </w:r>
    </w:p>
    <w:p w14:paraId="2F318676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2"/>
        <w:gridCol w:w="2870"/>
      </w:tblGrid>
      <w:tr w:rsidR="00000000" w14:paraId="15057DFC" w14:textId="77777777">
        <w:trPr>
          <w:divId w:val="11760415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02254" w14:textId="77777777" w:rsidR="00000000" w:rsidRDefault="0000000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1B29B" w14:textId="77777777" w:rsidR="00000000" w:rsidRDefault="00000000">
            <w:pPr>
              <w:pStyle w:val="capu1"/>
            </w:pPr>
            <w:r>
              <w:t>УТВЕРЖДЕНО</w:t>
            </w:r>
          </w:p>
          <w:p w14:paraId="179D9FBB" w14:textId="77777777" w:rsidR="00000000" w:rsidRDefault="00000000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Решение</w:t>
              </w:r>
            </w:hyperlink>
            <w:r>
              <w:t xml:space="preserve"> </w:t>
            </w:r>
            <w:r>
              <w:br/>
              <w:t xml:space="preserve">Витебского областного </w:t>
            </w:r>
            <w:r>
              <w:br/>
              <w:t>исполнительного комитета</w:t>
            </w:r>
            <w:r>
              <w:br/>
              <w:t>19.09.2024 № 593</w:t>
            </w:r>
          </w:p>
        </w:tc>
      </w:tr>
    </w:tbl>
    <w:p w14:paraId="0EBEF71B" w14:textId="77777777" w:rsidR="00000000" w:rsidRDefault="00000000">
      <w:pPr>
        <w:pStyle w:val="titleu"/>
        <w:divId w:val="11760415"/>
        <w:rPr>
          <w:lang w:val="ru-RU"/>
        </w:rPr>
      </w:pPr>
      <w:bookmarkStart w:id="2" w:name="a2"/>
      <w:bookmarkEnd w:id="2"/>
      <w:r>
        <w:rPr>
          <w:lang w:val="ru-RU"/>
        </w:rPr>
        <w:lastRenderedPageBreak/>
        <w:t xml:space="preserve">ИНСТРУКЦИЯ </w:t>
      </w:r>
      <w:r>
        <w:rPr>
          <w:lang w:val="ru-RU"/>
        </w:rPr>
        <w:br/>
        <w:t>о порядке установления и применения тарифов на услуги воспитательно-оздоровительных, спортивно-оздоровительных лагерей, расположенных на территории Витебской области</w:t>
      </w:r>
    </w:p>
    <w:p w14:paraId="4F1A7005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1. Настоящая Инструкция определяет порядок установления и применения тарифов на услуги воспитательно-оздоровительных, спортивно-оздоровительных лагерей, расположенных на территории Витебской области (далее – лагеря).</w:t>
      </w:r>
    </w:p>
    <w:p w14:paraId="444845E9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2. Для целей настоящей Инструкции:</w:t>
      </w:r>
    </w:p>
    <w:p w14:paraId="23AECA2C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под оздоровительным периодом понимается время со дня начала заезда первой смены и дня окончания последней смены и подготовительный период не более одного месяца сверх сезона;</w:t>
      </w:r>
    </w:p>
    <w:p w14:paraId="038EBB40" w14:textId="2581B3C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термины «воспитательно-оздоровительный лагерь», «спортивно-оздоровительный лагерь», «услуги лагерей» используются в значениях, определенных соответственно в пунктах </w:t>
      </w:r>
      <w:hyperlink r:id="rId8" w:anchor="a97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, </w:t>
      </w:r>
      <w:hyperlink r:id="rId9" w:anchor="a98" w:tooltip="+" w:history="1">
        <w:r>
          <w:rPr>
            <w:rStyle w:val="a3"/>
            <w:lang w:val="ru-RU"/>
          </w:rPr>
          <w:t>16</w:t>
        </w:r>
      </w:hyperlink>
      <w:r>
        <w:rPr>
          <w:lang w:val="ru-RU"/>
        </w:rPr>
        <w:t xml:space="preserve"> и </w:t>
      </w:r>
      <w:hyperlink r:id="rId10" w:anchor="a99" w:tooltip="+" w:history="1">
        <w:r>
          <w:rPr>
            <w:rStyle w:val="a3"/>
            <w:lang w:val="ru-RU"/>
          </w:rPr>
          <w:t>18</w:t>
        </w:r>
      </w:hyperlink>
      <w:r>
        <w:rPr>
          <w:lang w:val="ru-RU"/>
        </w:rPr>
        <w:t xml:space="preserve"> приложения 3 к постановлению Совета Министров Республики Беларусь от 15 июля 2024 г. № 509 «Об организации оздоровления детей в образовательно-оздоровительных центрах, воспитательно-оздоровительных и спортивно-оздоровительных лагерях».</w:t>
      </w:r>
    </w:p>
    <w:p w14:paraId="15B241BF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3. Тарифы на услуги лагерей определяются:</w:t>
      </w:r>
    </w:p>
    <w:p w14:paraId="7290F867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для граждан Республики Беларусь, иностранных граждан и лиц без гражданства, постоянно проживающих на территории Республики Беларусь, – на основе плановых затрат (себестоимости) на оказание услуг лагерей, налогов и иных обязательных платежей, установленных законодательством, без включения прибыли;</w:t>
      </w:r>
    </w:p>
    <w:p w14:paraId="3E967437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для иностранных граждан и лиц без гражданства, временно пребывающих или временно проживающих в Республике Беларусь, – на основе плановых затрат (себестоимости) на оказание услуг лагерей, налогов и иных обязательных платежей, установленных законодательством, прибыли с учетом конъюнктуры рынка, если иное не установлено законодательными актами и международными договорами.</w:t>
      </w:r>
    </w:p>
    <w:p w14:paraId="2CF531EE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4. Тарифы на услуги лагерей определяются дифференцированно по возрастным группам детей с учетом проектного количества мест в лагере согласно технической документации:</w:t>
      </w:r>
    </w:p>
    <w:p w14:paraId="55894A08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за один койко-день – для лагерей с круглосуточным пребыванием;</w:t>
      </w:r>
    </w:p>
    <w:p w14:paraId="0EE9F531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за один день пребывания в лагере – для лагерей с дневным пребыванием.</w:t>
      </w:r>
    </w:p>
    <w:p w14:paraId="40701BF0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5. Плановые затраты, включаемые в себестоимость услуг лагерей, рассчитываются по нормам (нормативам), утверждаемым руководителем (иным уполномоченным лицом) лагеря, если иное не установлено законодательством.</w:t>
      </w:r>
    </w:p>
    <w:p w14:paraId="27EC9670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6. Затраты по питанию включаются в себестоимость услуг лагерей согласно денежным нормам расходов на питание детей по возрастным группам, установленным законодательством, с учетом плановой численности оздоравливаемых детей.</w:t>
      </w:r>
    </w:p>
    <w:p w14:paraId="3A540EC5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7. Стоимость продуктов питания включается в себестоимость услуг лагерей:</w:t>
      </w:r>
    </w:p>
    <w:p w14:paraId="45C76B5D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по ценам их приобретения с учетом налога на добавленную стоимость без взимания торговых надбавок и наценок, установленных для организаций общественного питания, если питание обеспечивается лагерем;</w:t>
      </w:r>
    </w:p>
    <w:p w14:paraId="0E6EB9C9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lastRenderedPageBreak/>
        <w:t>по розничным ценам в соответствии с порядком формирования цен на продукцию общественного питания, реализуемую в учреждениях образования, установленным законодательством, если питание в лагере организуется юридическим лицом или индивидуальным предпринимателем.</w:t>
      </w:r>
    </w:p>
    <w:p w14:paraId="48DA162E" w14:textId="77777777" w:rsidR="00000000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Расходы, не связанные непосредственно с предоставленным питанием (сверхнормативные потери, порча, недостачи и другое), к затратам по питанию не относятся.</w:t>
      </w:r>
    </w:p>
    <w:p w14:paraId="7191CB75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8. Стоимость лекарственных средств и изделий медицинского назначения включается в себестоимость услуг лагерей по ценам их приобретения с возмещением транспортных расходов.</w:t>
      </w:r>
    </w:p>
    <w:p w14:paraId="0137452A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9. Расходы по хозяйственному содержанию лагерей включаются в себестоимость услуг лагерей с дневным пребыванием за период времени со дня начала первой смены до дня окончания последней смены включительно, лагерей с круглосуточным пребыванием – за оздоровительный период.</w:t>
      </w:r>
    </w:p>
    <w:p w14:paraId="406500E6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10. Тарифы на услуги лагерей утверждаются руководителем (иным уполномоченным лицом) лагеря.</w:t>
      </w:r>
    </w:p>
    <w:p w14:paraId="7DE04A93" w14:textId="77777777" w:rsidR="00000000" w:rsidRDefault="00000000">
      <w:pPr>
        <w:pStyle w:val="point"/>
        <w:divId w:val="11760415"/>
        <w:rPr>
          <w:lang w:val="ru-RU"/>
        </w:rPr>
      </w:pPr>
      <w:r>
        <w:rPr>
          <w:lang w:val="ru-RU"/>
        </w:rPr>
        <w:t>11. Плата за услуги лагерей определяется путем умножения тарифа за один день пребывания в лагере для лагерей с дневным пребыванием, за один койко-день для лагерей с круглосуточным пребыванием на количество дней пребывания в лагере.</w:t>
      </w:r>
    </w:p>
    <w:p w14:paraId="2099D899" w14:textId="77777777" w:rsidR="00F83B38" w:rsidRDefault="00000000">
      <w:pPr>
        <w:pStyle w:val="newncpi"/>
        <w:divId w:val="11760415"/>
        <w:rPr>
          <w:lang w:val="ru-RU"/>
        </w:rPr>
      </w:pPr>
      <w:r>
        <w:rPr>
          <w:lang w:val="ru-RU"/>
        </w:rPr>
        <w:t> </w:t>
      </w:r>
    </w:p>
    <w:sectPr w:rsidR="00F83B38" w:rsidSect="00E32059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77"/>
    <w:rsid w:val="00042477"/>
    <w:rsid w:val="0045173D"/>
    <w:rsid w:val="00E32059"/>
    <w:rsid w:val="00F8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C59A"/>
  <w15:docId w15:val="{1A35D087-08A8-477E-BC7F-A0894F7A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7;&#1074;&#1077;&#1090;&#1083;&#1072;&#1085;&#1072;\Downloads\tx.dll%3fd=676526&amp;a=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7;&#1074;&#1077;&#1090;&#1083;&#1072;&#1085;&#1072;\Downloads\tx.dll%3fd=567432&amp;a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7;&#1074;&#1077;&#1090;&#1083;&#1072;&#1085;&#1072;\Downloads\tx.dll%3fd=302210&amp;a=2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57;&#1074;&#1077;&#1090;&#1083;&#1072;&#1085;&#1072;\Downloads\tx.dll%3fd=274665&amp;a=100" TargetMode="External"/><Relationship Id="rId10" Type="http://schemas.openxmlformats.org/officeDocument/2006/relationships/hyperlink" Target="file:///C:\Users\&#1057;&#1074;&#1077;&#1090;&#1083;&#1072;&#1085;&#1072;\Downloads\tx.dll%3fd=676526&amp;a=99" TargetMode="External"/><Relationship Id="rId4" Type="http://schemas.openxmlformats.org/officeDocument/2006/relationships/hyperlink" Target="file:///C:\Users\&#1057;&#1074;&#1077;&#1090;&#1083;&#1072;&#1085;&#1072;\Downloads\tx.dll%3fd=207205&amp;a=10" TargetMode="External"/><Relationship Id="rId9" Type="http://schemas.openxmlformats.org/officeDocument/2006/relationships/hyperlink" Target="file:///C:\Users\&#1057;&#1074;&#1077;&#1090;&#1083;&#1072;&#1085;&#1072;\Downloads\tx.dll%3fd=676526&amp;a=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2024-10-14T05:40:00Z</dcterms:created>
  <dcterms:modified xsi:type="dcterms:W3CDTF">2024-10-14T05:40:00Z</dcterms:modified>
</cp:coreProperties>
</file>