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ИЗВЛЕЧЕНИЕ</w:t>
      </w:r>
      <w:proofErr w:type="gramStart"/>
      <w:r w:rsidRPr="00B87952">
        <w:rPr>
          <w:rFonts w:ascii="Times New Roman" w:eastAsia="Times New Roman" w:hAnsi="Times New Roman" w:cs="Times New Roman"/>
          <w:color w:val="828282"/>
          <w:sz w:val="30"/>
          <w:szCs w:val="30"/>
          <w:lang w:eastAsia="ru-RU"/>
        </w:rPr>
        <w:br/>
      </w:r>
      <w:r w:rsidRPr="00B87952">
        <w:rPr>
          <w:rFonts w:ascii="Times New Roman" w:eastAsia="Times New Roman" w:hAnsi="Times New Roman" w:cs="Times New Roman"/>
          <w:color w:val="000000"/>
          <w:sz w:val="30"/>
          <w:szCs w:val="30"/>
          <w:lang w:eastAsia="ru-RU"/>
        </w:rPr>
        <w:t>И</w:t>
      </w:r>
      <w:proofErr w:type="gramEnd"/>
      <w:r w:rsidRPr="00B87952">
        <w:rPr>
          <w:rFonts w:ascii="Times New Roman" w:eastAsia="Times New Roman" w:hAnsi="Times New Roman" w:cs="Times New Roman"/>
          <w:color w:val="000000"/>
          <w:sz w:val="30"/>
          <w:szCs w:val="30"/>
          <w:lang w:eastAsia="ru-RU"/>
        </w:rPr>
        <w:t>з Налогового кодекса Республики Беларусь</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b/>
          <w:bCs/>
          <w:color w:val="000000"/>
          <w:sz w:val="30"/>
          <w:szCs w:val="30"/>
          <w:lang w:eastAsia="ru-RU"/>
        </w:rPr>
        <w:t>Статья 285. Льготы по государственной пошлине</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828282"/>
          <w:sz w:val="30"/>
          <w:szCs w:val="30"/>
          <w:lang w:eastAsia="ru-RU"/>
        </w:rPr>
        <w:t>        </w:t>
      </w:r>
      <w:r w:rsidRPr="00B87952">
        <w:rPr>
          <w:rFonts w:ascii="Times New Roman" w:eastAsia="Times New Roman" w:hAnsi="Times New Roman" w:cs="Times New Roman"/>
          <w:color w:val="000000"/>
          <w:sz w:val="30"/>
          <w:szCs w:val="30"/>
          <w:lang w:eastAsia="ru-RU"/>
        </w:rPr>
        <w:t>  5. Освобождаются от государственной пошлины в органах, регистрирующих акты гражданского состояния:</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5.1. плательщики:</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5.1.1. за регистрацию рождения, усыновления (удочерения), установления материнства и (или) отцовства, смерти;</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xml:space="preserve">         </w:t>
      </w:r>
      <w:proofErr w:type="gramStart"/>
      <w:r w:rsidRPr="00B87952">
        <w:rPr>
          <w:rFonts w:ascii="Times New Roman" w:eastAsia="Times New Roman" w:hAnsi="Times New Roman" w:cs="Times New Roman"/>
          <w:color w:val="000000"/>
          <w:sz w:val="30"/>
          <w:szCs w:val="30"/>
          <w:lang w:eastAsia="ru-RU"/>
        </w:rPr>
        <w:t>5.1.2. за выдачу свидетельств о рождении в связи с внесением изменений, дополнений в запись акта о рождении в случае регистрации установления материнства и (или) отцовства, усыновления (удочерения) и в связи с восстановлением записи акта о рождении при изменении места рождения усыновленного (удочеренной), а также за выдачу свидетельств о смерти в связи с внесением изменений, дополнений и исправлений в запись акта</w:t>
      </w:r>
      <w:proofErr w:type="gramEnd"/>
      <w:r w:rsidRPr="00B87952">
        <w:rPr>
          <w:rFonts w:ascii="Times New Roman" w:eastAsia="Times New Roman" w:hAnsi="Times New Roman" w:cs="Times New Roman"/>
          <w:color w:val="000000"/>
          <w:sz w:val="30"/>
          <w:szCs w:val="30"/>
          <w:lang w:eastAsia="ru-RU"/>
        </w:rPr>
        <w:t xml:space="preserve"> о смерти;</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5.2. физические лица за выдачу повторных свидетельств о смерти военнослужащих, граждан Республики Беларусь, проходящих альтернативную службу, и военных строителей, погибших в период прохождения военной, альтернативной службы в мирное время;</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5.3. реабилитированные физические лица, члены их семей, которые относятся к кругу лиц, обеспечиваемых пенсией по случаю потери кормильца, и наследники по закону первой очереди за выдачу документов, связанных с реабилитацией;</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lastRenderedPageBreak/>
        <w:t>         5.4. инвалиды и участники Великой Отечественной войны за выдачу им свидетель</w:t>
      </w:r>
      <w:proofErr w:type="gramStart"/>
      <w:r w:rsidRPr="00B87952">
        <w:rPr>
          <w:rFonts w:ascii="Times New Roman" w:eastAsia="Times New Roman" w:hAnsi="Times New Roman" w:cs="Times New Roman"/>
          <w:color w:val="000000"/>
          <w:sz w:val="30"/>
          <w:szCs w:val="30"/>
          <w:lang w:eastAsia="ru-RU"/>
        </w:rPr>
        <w:t>ств в св</w:t>
      </w:r>
      <w:proofErr w:type="gramEnd"/>
      <w:r w:rsidRPr="00B87952">
        <w:rPr>
          <w:rFonts w:ascii="Times New Roman" w:eastAsia="Times New Roman" w:hAnsi="Times New Roman" w:cs="Times New Roman"/>
          <w:color w:val="000000"/>
          <w:sz w:val="30"/>
          <w:szCs w:val="30"/>
          <w:lang w:eastAsia="ru-RU"/>
        </w:rPr>
        <w:t>язи с изменением, дополнением, исправлением записей актов гражданского состояния, составленных на этих лиц, а также в связи с восстановлением записей актов гражданского состояния в отношении этих лиц;</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xml:space="preserve">         5.5. </w:t>
      </w:r>
      <w:proofErr w:type="gramStart"/>
      <w:r w:rsidRPr="00B87952">
        <w:rPr>
          <w:rFonts w:ascii="Times New Roman" w:eastAsia="Times New Roman" w:hAnsi="Times New Roman" w:cs="Times New Roman"/>
          <w:color w:val="000000"/>
          <w:sz w:val="30"/>
          <w:szCs w:val="30"/>
          <w:lang w:eastAsia="ru-RU"/>
        </w:rPr>
        <w:t>Герои Беларуси, Герои Советского Союза, Герои Социалистического Труда, полные кавалеры орденов Славы, Трудовой Славы, Отечества, инвалиды Великой Отечественной войны, инвалиды боевых действий на территории других государств, участники Великой Отечественной войны, физические лица,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w:t>
      </w:r>
      <w:proofErr w:type="gramEnd"/>
      <w:r w:rsidRPr="00B87952">
        <w:rPr>
          <w:rFonts w:ascii="Times New Roman" w:eastAsia="Times New Roman" w:hAnsi="Times New Roman" w:cs="Times New Roman"/>
          <w:color w:val="000000"/>
          <w:sz w:val="30"/>
          <w:szCs w:val="30"/>
          <w:lang w:eastAsia="ru-RU"/>
        </w:rPr>
        <w:t xml:space="preserve"> </w:t>
      </w:r>
      <w:proofErr w:type="gramStart"/>
      <w:r w:rsidRPr="00B87952">
        <w:rPr>
          <w:rFonts w:ascii="Times New Roman" w:eastAsia="Times New Roman" w:hAnsi="Times New Roman" w:cs="Times New Roman"/>
          <w:color w:val="000000"/>
          <w:sz w:val="30"/>
          <w:szCs w:val="30"/>
          <w:lang w:eastAsia="ru-RU"/>
        </w:rPr>
        <w:t>катастрофой на Чернобыльской АЭС, другими радиационными авариями, а также граждане Республики Беларусь,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ставшие инвалидами вследствие ранения, контузии, увечья</w:t>
      </w:r>
      <w:proofErr w:type="gramEnd"/>
      <w:r w:rsidRPr="00B87952">
        <w:rPr>
          <w:rFonts w:ascii="Times New Roman" w:eastAsia="Times New Roman" w:hAnsi="Times New Roman" w:cs="Times New Roman"/>
          <w:color w:val="000000"/>
          <w:sz w:val="30"/>
          <w:szCs w:val="30"/>
          <w:lang w:eastAsia="ru-RU"/>
        </w:rPr>
        <w:t xml:space="preserve"> или заболевания, полученных при исполнении обязанностей военной службы (служебных обязанностей), за выдачу повторных свидетельств о регистрации актов гражданского состояния;</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xml:space="preserve">         5.6. опекуны, попечители, детские </w:t>
      </w:r>
      <w:proofErr w:type="spellStart"/>
      <w:r w:rsidRPr="00B87952">
        <w:rPr>
          <w:rFonts w:ascii="Times New Roman" w:eastAsia="Times New Roman" w:hAnsi="Times New Roman" w:cs="Times New Roman"/>
          <w:color w:val="000000"/>
          <w:sz w:val="30"/>
          <w:szCs w:val="30"/>
          <w:lang w:eastAsia="ru-RU"/>
        </w:rPr>
        <w:t>интернатные</w:t>
      </w:r>
      <w:proofErr w:type="spellEnd"/>
      <w:r w:rsidRPr="00B87952">
        <w:rPr>
          <w:rFonts w:ascii="Times New Roman" w:eastAsia="Times New Roman" w:hAnsi="Times New Roman" w:cs="Times New Roman"/>
          <w:color w:val="000000"/>
          <w:sz w:val="30"/>
          <w:szCs w:val="30"/>
          <w:lang w:eastAsia="ru-RU"/>
        </w:rPr>
        <w:t xml:space="preserve"> учреждения, учреждения профессионально-технического, среднего специального, высшего образования, комиссии по делам несовершеннолетних за выдачу повторных свидетельств о рождении детей-сирот или детей, оставшихся без попечения родителей, о смерти родителей детей, оставшихся без попечения родителей.</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6. Освобождаются от государственной пошлины в архивах органов, регистрирующих акты гражданского состояния, главных управлений юстиции областных и Минского городского исполнительных комитетов:</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lastRenderedPageBreak/>
        <w:t>         6.1. физические лица за выдачу повторных свидетельств о смерти военнослужащих, граждан Республики Беларусь, проходящих альтернативную службу, и военных строителей, погибших в период прохождения военной, альтернативной службы в мирное время;</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xml:space="preserve">         6.2. </w:t>
      </w:r>
      <w:proofErr w:type="gramStart"/>
      <w:r w:rsidRPr="00B87952">
        <w:rPr>
          <w:rFonts w:ascii="Times New Roman" w:eastAsia="Times New Roman" w:hAnsi="Times New Roman" w:cs="Times New Roman"/>
          <w:color w:val="000000"/>
          <w:sz w:val="30"/>
          <w:szCs w:val="30"/>
          <w:lang w:eastAsia="ru-RU"/>
        </w:rPr>
        <w:t>Герои Беларуси, Герои Советского Союза, Герои Социалистического Труда, полные кавалеры орденов Славы, Трудовой Славы, Отечества, инвалиды Великой Отечественной войны, инвалиды боевых действий на территории других государств, участники Великой Отечественной войны, физические лица,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w:t>
      </w:r>
      <w:proofErr w:type="gramEnd"/>
      <w:r w:rsidRPr="00B87952">
        <w:rPr>
          <w:rFonts w:ascii="Times New Roman" w:eastAsia="Times New Roman" w:hAnsi="Times New Roman" w:cs="Times New Roman"/>
          <w:color w:val="000000"/>
          <w:sz w:val="30"/>
          <w:szCs w:val="30"/>
          <w:lang w:eastAsia="ru-RU"/>
        </w:rPr>
        <w:t xml:space="preserve"> </w:t>
      </w:r>
      <w:proofErr w:type="gramStart"/>
      <w:r w:rsidRPr="00B87952">
        <w:rPr>
          <w:rFonts w:ascii="Times New Roman" w:eastAsia="Times New Roman" w:hAnsi="Times New Roman" w:cs="Times New Roman"/>
          <w:color w:val="000000"/>
          <w:sz w:val="30"/>
          <w:szCs w:val="30"/>
          <w:lang w:eastAsia="ru-RU"/>
        </w:rPr>
        <w:t>катастрофой на Чернобыльской АЭС, другими радиационными авариями, а также граждане Республики Беларусь,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ставшие инвалидами вследствие ранения, контузии, увечья</w:t>
      </w:r>
      <w:proofErr w:type="gramEnd"/>
      <w:r w:rsidRPr="00B87952">
        <w:rPr>
          <w:rFonts w:ascii="Times New Roman" w:eastAsia="Times New Roman" w:hAnsi="Times New Roman" w:cs="Times New Roman"/>
          <w:color w:val="000000"/>
          <w:sz w:val="30"/>
          <w:szCs w:val="30"/>
          <w:lang w:eastAsia="ru-RU"/>
        </w:rPr>
        <w:t xml:space="preserve"> или заболевания, полученных при исполнении обязанностей военной службы (служебных обязанностей), за выдачу повторных свидетельств о регистрации актов гражданского состояния;</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xml:space="preserve">         6.3. опекуны, попечители, детские </w:t>
      </w:r>
      <w:proofErr w:type="spellStart"/>
      <w:r w:rsidRPr="00B87952">
        <w:rPr>
          <w:rFonts w:ascii="Times New Roman" w:eastAsia="Times New Roman" w:hAnsi="Times New Roman" w:cs="Times New Roman"/>
          <w:color w:val="000000"/>
          <w:sz w:val="30"/>
          <w:szCs w:val="30"/>
          <w:lang w:eastAsia="ru-RU"/>
        </w:rPr>
        <w:t>интернатные</w:t>
      </w:r>
      <w:proofErr w:type="spellEnd"/>
      <w:r w:rsidRPr="00B87952">
        <w:rPr>
          <w:rFonts w:ascii="Times New Roman" w:eastAsia="Times New Roman" w:hAnsi="Times New Roman" w:cs="Times New Roman"/>
          <w:color w:val="000000"/>
          <w:sz w:val="30"/>
          <w:szCs w:val="30"/>
          <w:lang w:eastAsia="ru-RU"/>
        </w:rPr>
        <w:t xml:space="preserve"> учреждения, учреждения профессионально-технического, среднего специального, высшего образования, комиссии по делам несовершеннолетних за выдачу повторных свидетельств о рождении детей-сирот или детей, оставшихся без попечения родителей, о смерти родителей детей, оставшихся без попечения родителей;</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6.4. реабилитированные физические лица, члены их семей, которые относятся к кругу лиц, обеспечиваемых пенсией по случаю потери кормильца, и наследники по закону первой очереди за выдачу документов, связанных с реабилитацией.</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lastRenderedPageBreak/>
        <w:t>         15. Освобождаются от государственной пошлины плательщики за повторное совершение юридически значимых действий, являющихся объектами обложения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в результате действий органа, взимающего государственную пошлину.</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16. Иные категории плательщиков освобождаются от государственной пошлины в случаях, установленных Президентом Республики Беларусь и международными договорами Республики Беларусь.</w:t>
      </w:r>
    </w:p>
    <w:p w:rsidR="00B87952" w:rsidRPr="00B87952" w:rsidRDefault="00EF7AE8" w:rsidP="00B87952">
      <w:pPr>
        <w:spacing w:before="240" w:after="240" w:line="240" w:lineRule="auto"/>
        <w:jc w:val="both"/>
        <w:rPr>
          <w:rFonts w:ascii="Times New Roman" w:eastAsia="Times New Roman" w:hAnsi="Times New Roman" w:cs="Times New Roman"/>
          <w:sz w:val="30"/>
          <w:szCs w:val="30"/>
          <w:lang w:eastAsia="ru-RU"/>
        </w:rPr>
      </w:pPr>
      <w:r w:rsidRPr="00EF7AE8">
        <w:rPr>
          <w:rFonts w:ascii="Times New Roman" w:eastAsia="Times New Roman" w:hAnsi="Times New Roman" w:cs="Times New Roman"/>
          <w:sz w:val="30"/>
          <w:szCs w:val="30"/>
          <w:lang w:eastAsia="ru-RU"/>
        </w:rPr>
        <w:pict>
          <v:rect id="_x0000_i1025" style="width:0;height:.75pt" o:hralign="center" o:hrstd="t" o:hrnoshade="t" o:hr="t" fillcolor="#828282" stroked="f"/>
        </w:pict>
      </w:r>
    </w:p>
    <w:p w:rsidR="00B87952" w:rsidRPr="00B87952" w:rsidRDefault="00B87952" w:rsidP="00B87952">
      <w:pPr>
        <w:spacing w:before="240" w:after="240" w:line="240" w:lineRule="auto"/>
        <w:jc w:val="both"/>
        <w:rPr>
          <w:rFonts w:ascii="Times New Roman" w:eastAsia="Times New Roman" w:hAnsi="Times New Roman" w:cs="Times New Roman"/>
          <w:sz w:val="30"/>
          <w:szCs w:val="30"/>
          <w:lang w:eastAsia="ru-RU"/>
        </w:rPr>
      </w:pPr>
    </w:p>
    <w:p w:rsidR="00B87952" w:rsidRPr="00B87952" w:rsidRDefault="00B87952" w:rsidP="00B87952">
      <w:pPr>
        <w:spacing w:before="240" w:after="240" w:line="450" w:lineRule="atLeast"/>
        <w:jc w:val="both"/>
        <w:outlineLvl w:val="1"/>
        <w:rPr>
          <w:rFonts w:ascii="Times New Roman" w:eastAsia="Times New Roman" w:hAnsi="Times New Roman" w:cs="Times New Roman"/>
          <w:b/>
          <w:bCs/>
          <w:color w:val="1C1C1C"/>
          <w:sz w:val="30"/>
          <w:szCs w:val="30"/>
          <w:lang w:eastAsia="ru-RU"/>
        </w:rPr>
      </w:pPr>
      <w:r w:rsidRPr="00B87952">
        <w:rPr>
          <w:rFonts w:ascii="Times New Roman" w:eastAsia="Times New Roman" w:hAnsi="Times New Roman" w:cs="Times New Roman"/>
          <w:b/>
          <w:bCs/>
          <w:color w:val="1C1C1C"/>
          <w:sz w:val="30"/>
          <w:szCs w:val="30"/>
          <w:lang w:eastAsia="ru-RU"/>
        </w:rPr>
        <w:t>Порядок уплаты</w:t>
      </w:r>
    </w:p>
    <w:p w:rsidR="00B87952" w:rsidRPr="00B87952" w:rsidRDefault="00B87952" w:rsidP="00B87952">
      <w:pPr>
        <w:spacing w:after="0" w:line="450" w:lineRule="atLeast"/>
        <w:jc w:val="both"/>
        <w:outlineLvl w:val="2"/>
        <w:rPr>
          <w:rFonts w:ascii="Times New Roman" w:eastAsia="Times New Roman" w:hAnsi="Times New Roman" w:cs="Times New Roman"/>
          <w:b/>
          <w:bCs/>
          <w:caps/>
          <w:color w:val="1C1C1C"/>
          <w:sz w:val="30"/>
          <w:szCs w:val="30"/>
          <w:lang w:eastAsia="ru-RU"/>
        </w:rPr>
      </w:pPr>
    </w:p>
    <w:p w:rsidR="00B87952" w:rsidRPr="00B87952" w:rsidRDefault="00B87952" w:rsidP="00B87952">
      <w:pPr>
        <w:spacing w:after="0" w:line="240" w:lineRule="auto"/>
        <w:jc w:val="both"/>
        <w:rPr>
          <w:rFonts w:ascii="Times New Roman" w:eastAsia="Times New Roman" w:hAnsi="Times New Roman" w:cs="Times New Roman"/>
          <w:sz w:val="30"/>
          <w:szCs w:val="30"/>
          <w:lang w:eastAsia="ru-RU"/>
        </w:rPr>
      </w:pPr>
      <w:r w:rsidRPr="00B87952">
        <w:rPr>
          <w:rFonts w:ascii="Times New Roman" w:eastAsia="Times New Roman" w:hAnsi="Times New Roman" w:cs="Times New Roman"/>
          <w:color w:val="000000"/>
          <w:sz w:val="30"/>
          <w:szCs w:val="30"/>
          <w:lang w:eastAsia="ru-RU"/>
        </w:rPr>
        <w:t>ИЗВЛЕЧЕНИЕ</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Из Налогового кодекса Республики Беларусь </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b/>
          <w:bCs/>
          <w:color w:val="000000"/>
          <w:sz w:val="30"/>
          <w:szCs w:val="30"/>
          <w:lang w:eastAsia="ru-RU"/>
        </w:rPr>
        <w:t>Статья 287. Сроки и порядок уплаты государственной пошлины</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1. Государственная пошлина уплачивается, если иное не установлено пунктом 2 настоящей статьи:</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1.1. при обращении за совершением юридически значимых действий — до подачи заявления, жалобы, ходатайства и (или) иных документов на совершение таких действий;</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lastRenderedPageBreak/>
        <w:t>         1.2. </w:t>
      </w:r>
      <w:r w:rsidRPr="00B87952">
        <w:rPr>
          <w:rFonts w:ascii="Times New Roman" w:eastAsia="Times New Roman" w:hAnsi="Times New Roman" w:cs="Times New Roman"/>
          <w:b/>
          <w:bCs/>
          <w:color w:val="000000"/>
          <w:sz w:val="30"/>
          <w:szCs w:val="30"/>
          <w:lang w:eastAsia="ru-RU"/>
        </w:rPr>
        <w:t>при обращении за совершением юридически значимых действий, которые в соответствии с законодательством являются административными процедурами, — до обращения за осуществлением соответствующей административной процедуры</w:t>
      </w:r>
      <w:r w:rsidRPr="00B87952">
        <w:rPr>
          <w:rFonts w:ascii="Times New Roman" w:eastAsia="Times New Roman" w:hAnsi="Times New Roman" w:cs="Times New Roman"/>
          <w:color w:val="000000"/>
          <w:sz w:val="30"/>
          <w:szCs w:val="30"/>
          <w:lang w:eastAsia="ru-RU"/>
        </w:rPr>
        <w:t>;</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1.3. при обращении за выдачей документов (их копий, дубликатов) — до выдачи документов (их копий, дубликатов).</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2. Государственная пошлина уплачивается:</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2.1. при обращении за совершением нотариальных действий — до совершения нотариального действия;</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2.2. </w:t>
      </w:r>
      <w:r w:rsidRPr="00B87952">
        <w:rPr>
          <w:rFonts w:ascii="Times New Roman" w:eastAsia="Times New Roman" w:hAnsi="Times New Roman" w:cs="Times New Roman"/>
          <w:b/>
          <w:bCs/>
          <w:color w:val="000000"/>
          <w:sz w:val="30"/>
          <w:szCs w:val="30"/>
          <w:lang w:eastAsia="ru-RU"/>
        </w:rPr>
        <w:t>за регистрацию перемены фамилии, собственного имени, отчества (если таковое имеется), за выдачу свидетель</w:t>
      </w:r>
      <w:proofErr w:type="gramStart"/>
      <w:r w:rsidRPr="00B87952">
        <w:rPr>
          <w:rFonts w:ascii="Times New Roman" w:eastAsia="Times New Roman" w:hAnsi="Times New Roman" w:cs="Times New Roman"/>
          <w:b/>
          <w:bCs/>
          <w:color w:val="000000"/>
          <w:sz w:val="30"/>
          <w:szCs w:val="30"/>
          <w:lang w:eastAsia="ru-RU"/>
        </w:rPr>
        <w:t>ств в св</w:t>
      </w:r>
      <w:proofErr w:type="gramEnd"/>
      <w:r w:rsidRPr="00B87952">
        <w:rPr>
          <w:rFonts w:ascii="Times New Roman" w:eastAsia="Times New Roman" w:hAnsi="Times New Roman" w:cs="Times New Roman"/>
          <w:b/>
          <w:bCs/>
          <w:color w:val="000000"/>
          <w:sz w:val="30"/>
          <w:szCs w:val="30"/>
          <w:lang w:eastAsia="ru-RU"/>
        </w:rPr>
        <w:t>язи с изменением, дополнением, исправлением и восстановлением записей актов гражданского состояния, а также за выдачу повторных свидетельств о регистрации актов гражданского состояния — при выдаче соответствующих свидетельств</w:t>
      </w:r>
      <w:r w:rsidRPr="00B87952">
        <w:rPr>
          <w:rFonts w:ascii="Times New Roman" w:eastAsia="Times New Roman" w:hAnsi="Times New Roman" w:cs="Times New Roman"/>
          <w:color w:val="000000"/>
          <w:sz w:val="30"/>
          <w:szCs w:val="30"/>
          <w:lang w:eastAsia="ru-RU"/>
        </w:rPr>
        <w:t>;</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3. Государственная пошлина уплачивается по ставке и (или) исходя из размера базовой величины, установленных на день обращения за совершением юридически значимых действий в органы, взимающие государственную пошлину, если иное не установлено пунктами 4 и 7 настоящей статьи.</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Для целей применения настоящей главы днем обращения за совершением юридически значимых действий признаются день поступления искового заявления, заявления, жалобы, ходатайства или иных документов на совершение таких действий в органы, взимающие государственную пошлину, а при отправлении их через отделение почтовой связи — день отправления.</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В случае изменения ставки государственной пошлины и (или) размера базовой величины во время совершения юридически значимого действия доплата государственной пошлины не производится.</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lastRenderedPageBreak/>
        <w:t>         Если государственная пошлина за совершение юридически значимых действий уплачена меньше установленного размера, производится доплата по ставке и (или) исходя из размера базовой величины, установленных на день обращения, а в случае, предусмотренном частью первой пункта 7 настоящей статьи, — на день доплаты государственной пошлины до установленного размера.</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6. </w:t>
      </w:r>
      <w:r w:rsidRPr="00B87952">
        <w:rPr>
          <w:rFonts w:ascii="Times New Roman" w:eastAsia="Times New Roman" w:hAnsi="Times New Roman" w:cs="Times New Roman"/>
          <w:b/>
          <w:bCs/>
          <w:color w:val="000000"/>
          <w:sz w:val="30"/>
          <w:szCs w:val="30"/>
          <w:lang w:eastAsia="ru-RU"/>
        </w:rPr>
        <w:t>Факт уплаты государственной пошлины путем внесения наличных денежных средств подтверждается квитанцией банка, организации связи Министерства связи и информатизации Республики Беларусь, местного исполнительного и распорядительного органа. </w:t>
      </w:r>
      <w:r w:rsidRPr="00B87952">
        <w:rPr>
          <w:rFonts w:ascii="Times New Roman" w:eastAsia="Times New Roman" w:hAnsi="Times New Roman" w:cs="Times New Roman"/>
          <w:color w:val="000000"/>
          <w:sz w:val="30"/>
          <w:szCs w:val="30"/>
          <w:lang w:eastAsia="ru-RU"/>
        </w:rPr>
        <w:t>При необходимости по просьбе плательщика квитанция возвращается плательщику. В органе, взимающем государственную пошлину, остается копия квитанции, соответствие которой оригиналу заверяется подписью должностного лица органа, взимающего государственную пошлину, с указанием его должности, фамилии и инициалов. На квитанции делается отметка о дате ее представления в орган, взимающий государственную пошлину, которая заверяется также подписью должностного лица органа, взимающего государственную пошлину, с указанием его должности, фамилии и инициалов.</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w:t>
      </w:r>
      <w:r w:rsidRPr="00B87952">
        <w:rPr>
          <w:rFonts w:ascii="Times New Roman" w:eastAsia="Times New Roman" w:hAnsi="Times New Roman" w:cs="Times New Roman"/>
          <w:b/>
          <w:bCs/>
          <w:color w:val="000000"/>
          <w:sz w:val="30"/>
          <w:szCs w:val="30"/>
          <w:lang w:eastAsia="ru-RU"/>
        </w:rPr>
        <w:t xml:space="preserve"> Факт уплаты государственной пошлины путем перечисления суммы государственной пошлины со счета плательщика подтверждается дополнительным экземпляром платежной инструкции, экземпляром платежной инструкции, </w:t>
      </w:r>
      <w:proofErr w:type="gramStart"/>
      <w:r w:rsidRPr="00B87952">
        <w:rPr>
          <w:rFonts w:ascii="Times New Roman" w:eastAsia="Times New Roman" w:hAnsi="Times New Roman" w:cs="Times New Roman"/>
          <w:b/>
          <w:bCs/>
          <w:color w:val="000000"/>
          <w:sz w:val="30"/>
          <w:szCs w:val="30"/>
          <w:lang w:eastAsia="ru-RU"/>
        </w:rPr>
        <w:t>составленными</w:t>
      </w:r>
      <w:proofErr w:type="gramEnd"/>
      <w:r w:rsidRPr="00B87952">
        <w:rPr>
          <w:rFonts w:ascii="Times New Roman" w:eastAsia="Times New Roman" w:hAnsi="Times New Roman" w:cs="Times New Roman"/>
          <w:b/>
          <w:bCs/>
          <w:color w:val="000000"/>
          <w:sz w:val="30"/>
          <w:szCs w:val="30"/>
          <w:lang w:eastAsia="ru-RU"/>
        </w:rPr>
        <w:t xml:space="preserve"> на бумажном носителе при осуществлении электронных платежей, с отметкой банка об их исполнении.</w:t>
      </w:r>
      <w:r w:rsidRPr="00B87952">
        <w:rPr>
          <w:rFonts w:ascii="Times New Roman" w:eastAsia="Times New Roman" w:hAnsi="Times New Roman" w:cs="Times New Roman"/>
          <w:color w:val="000000"/>
          <w:sz w:val="30"/>
          <w:szCs w:val="30"/>
          <w:lang w:eastAsia="ru-RU"/>
        </w:rPr>
        <w:t> При этом в отметке банка должны содержаться дата исполнения платежной инструкции, оригинальный штамп банка и подпись ответственного исполнителя.</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Факт уплаты государственной пошлины при проведении налоговым органом зачета налога, сбора (пошлины) в счет подлежащей уплате сумме государственной пошлины подтверждается оригиналом письма налогового органа о проведенном зачете, подписанного руководителем (заместителем руководителя) налогового органа и заверенного гербовой печатью налогового органа.</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lastRenderedPageBreak/>
        <w:t>        </w:t>
      </w:r>
      <w:r w:rsidRPr="00B87952">
        <w:rPr>
          <w:rFonts w:ascii="Times New Roman" w:eastAsia="Times New Roman" w:hAnsi="Times New Roman" w:cs="Times New Roman"/>
          <w:b/>
          <w:bCs/>
          <w:color w:val="000000"/>
          <w:sz w:val="30"/>
          <w:szCs w:val="30"/>
          <w:lang w:eastAsia="ru-RU"/>
        </w:rPr>
        <w:t> </w:t>
      </w:r>
      <w:r w:rsidRPr="00B87952">
        <w:rPr>
          <w:rFonts w:ascii="Times New Roman" w:eastAsia="Times New Roman" w:hAnsi="Times New Roman" w:cs="Times New Roman"/>
          <w:color w:val="000000"/>
          <w:sz w:val="30"/>
          <w:szCs w:val="30"/>
          <w:lang w:eastAsia="ru-RU"/>
        </w:rPr>
        <w:t>Платежные инструкции либо их копии, подтверждающие уплату государственной пошлины, хранятся в органах, взимающих государственную пошлину, и при наличии заявлений, жалоб или других документов, по которым уплачена государственная пошлина, приобщаются к ним.</w:t>
      </w:r>
    </w:p>
    <w:p w:rsidR="00B87952" w:rsidRPr="00B87952" w:rsidRDefault="00B87952" w:rsidP="00B87952">
      <w:pPr>
        <w:spacing w:before="100" w:beforeAutospacing="1" w:after="100" w:afterAutospacing="1" w:line="240" w:lineRule="auto"/>
        <w:jc w:val="both"/>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         В случае</w:t>
      </w:r>
      <w:proofErr w:type="gramStart"/>
      <w:r w:rsidRPr="00B87952">
        <w:rPr>
          <w:rFonts w:ascii="Times New Roman" w:eastAsia="Times New Roman" w:hAnsi="Times New Roman" w:cs="Times New Roman"/>
          <w:color w:val="000000"/>
          <w:sz w:val="30"/>
          <w:szCs w:val="30"/>
          <w:lang w:eastAsia="ru-RU"/>
        </w:rPr>
        <w:t>,</w:t>
      </w:r>
      <w:proofErr w:type="gramEnd"/>
      <w:r w:rsidRPr="00B87952">
        <w:rPr>
          <w:rFonts w:ascii="Times New Roman" w:eastAsia="Times New Roman" w:hAnsi="Times New Roman" w:cs="Times New Roman"/>
          <w:color w:val="000000"/>
          <w:sz w:val="30"/>
          <w:szCs w:val="30"/>
          <w:lang w:eastAsia="ru-RU"/>
        </w:rPr>
        <w:t xml:space="preserve"> если плательщик освобождается от государственной пошлины, об этом делается отметка на соответствующих документах с указанием, на основании какого законодательного акта и (или) иного правового акта (их конкретного структурного элемента) плательщик освобождается от государственной пошлины.</w:t>
      </w:r>
      <w:r w:rsidRPr="00B87952">
        <w:rPr>
          <w:rFonts w:ascii="Times New Roman" w:eastAsia="Times New Roman" w:hAnsi="Times New Roman" w:cs="Times New Roman"/>
          <w:color w:val="828282"/>
          <w:sz w:val="30"/>
          <w:szCs w:val="30"/>
          <w:lang w:eastAsia="ru-RU"/>
        </w:rPr>
        <w:t> </w:t>
      </w:r>
    </w:p>
    <w:p w:rsidR="00B87952" w:rsidRPr="00B87952" w:rsidRDefault="00EF7AE8" w:rsidP="00B87952">
      <w:pPr>
        <w:spacing w:before="240" w:after="240" w:line="240" w:lineRule="auto"/>
        <w:rPr>
          <w:rFonts w:ascii="Times New Roman" w:eastAsia="Times New Roman" w:hAnsi="Times New Roman" w:cs="Times New Roman"/>
          <w:sz w:val="30"/>
          <w:szCs w:val="30"/>
          <w:lang w:eastAsia="ru-RU"/>
        </w:rPr>
      </w:pPr>
      <w:r w:rsidRPr="00EF7AE8">
        <w:rPr>
          <w:rFonts w:ascii="Times New Roman" w:eastAsia="Times New Roman" w:hAnsi="Times New Roman" w:cs="Times New Roman"/>
          <w:sz w:val="30"/>
          <w:szCs w:val="30"/>
          <w:lang w:eastAsia="ru-RU"/>
        </w:rPr>
        <w:pict>
          <v:rect id="_x0000_i1026" style="width:0;height:.75pt" o:hralign="center" o:hrstd="t" o:hrnoshade="t" o:hr="t" fillcolor="#828282" stroked="f"/>
        </w:pict>
      </w:r>
    </w:p>
    <w:p w:rsidR="00B87952" w:rsidRDefault="00B87952" w:rsidP="00B01A18">
      <w:pPr>
        <w:spacing w:before="240" w:after="240" w:line="240" w:lineRule="auto"/>
        <w:rPr>
          <w:rFonts w:ascii="Times New Roman" w:eastAsia="Times New Roman" w:hAnsi="Times New Roman" w:cs="Times New Roman"/>
          <w:sz w:val="30"/>
          <w:szCs w:val="30"/>
          <w:lang w:eastAsia="ru-RU"/>
        </w:rPr>
      </w:pPr>
    </w:p>
    <w:p w:rsidR="00B87952" w:rsidRDefault="00B87952" w:rsidP="00B87952">
      <w:pPr>
        <w:spacing w:before="240" w:after="240" w:line="240" w:lineRule="auto"/>
        <w:rPr>
          <w:rFonts w:ascii="Times New Roman" w:eastAsia="Times New Roman" w:hAnsi="Times New Roman" w:cs="Times New Roman"/>
          <w:sz w:val="30"/>
          <w:szCs w:val="30"/>
          <w:lang w:eastAsia="ru-RU"/>
        </w:rPr>
      </w:pPr>
    </w:p>
    <w:p w:rsidR="00B01A18" w:rsidRDefault="00B01A18" w:rsidP="00B87952">
      <w:pPr>
        <w:spacing w:before="240" w:after="240" w:line="240" w:lineRule="auto"/>
        <w:rPr>
          <w:rFonts w:ascii="Times New Roman" w:eastAsia="Times New Roman" w:hAnsi="Times New Roman" w:cs="Times New Roman"/>
          <w:sz w:val="30"/>
          <w:szCs w:val="30"/>
          <w:lang w:eastAsia="ru-RU"/>
        </w:rPr>
      </w:pPr>
    </w:p>
    <w:p w:rsidR="00B01A18" w:rsidRDefault="00B01A18" w:rsidP="00B87952">
      <w:pPr>
        <w:spacing w:before="240" w:after="240" w:line="240" w:lineRule="auto"/>
        <w:rPr>
          <w:rFonts w:ascii="Times New Roman" w:eastAsia="Times New Roman" w:hAnsi="Times New Roman" w:cs="Times New Roman"/>
          <w:sz w:val="30"/>
          <w:szCs w:val="30"/>
          <w:lang w:eastAsia="ru-RU"/>
        </w:rPr>
      </w:pPr>
    </w:p>
    <w:p w:rsidR="00B01A18" w:rsidRDefault="00B01A18" w:rsidP="00B87952">
      <w:pPr>
        <w:spacing w:before="240" w:after="240" w:line="240" w:lineRule="auto"/>
        <w:rPr>
          <w:rFonts w:ascii="Times New Roman" w:eastAsia="Times New Roman" w:hAnsi="Times New Roman" w:cs="Times New Roman"/>
          <w:sz w:val="30"/>
          <w:szCs w:val="30"/>
          <w:lang w:eastAsia="ru-RU"/>
        </w:rPr>
      </w:pPr>
    </w:p>
    <w:p w:rsidR="00B01A18" w:rsidRDefault="00B01A18" w:rsidP="00B87952">
      <w:pPr>
        <w:spacing w:before="240" w:after="240" w:line="240" w:lineRule="auto"/>
        <w:rPr>
          <w:rFonts w:ascii="Times New Roman" w:eastAsia="Times New Roman" w:hAnsi="Times New Roman" w:cs="Times New Roman"/>
          <w:sz w:val="30"/>
          <w:szCs w:val="30"/>
          <w:lang w:eastAsia="ru-RU"/>
        </w:rPr>
      </w:pPr>
    </w:p>
    <w:p w:rsidR="00B01A18" w:rsidRDefault="00B01A18" w:rsidP="00B87952">
      <w:pPr>
        <w:spacing w:before="240" w:after="240" w:line="240" w:lineRule="auto"/>
        <w:rPr>
          <w:rFonts w:ascii="Times New Roman" w:eastAsia="Times New Roman" w:hAnsi="Times New Roman" w:cs="Times New Roman"/>
          <w:sz w:val="30"/>
          <w:szCs w:val="30"/>
          <w:lang w:eastAsia="ru-RU"/>
        </w:rPr>
      </w:pPr>
    </w:p>
    <w:p w:rsidR="00B01A18" w:rsidRDefault="00B01A18" w:rsidP="00B87952">
      <w:pPr>
        <w:spacing w:before="240" w:after="240" w:line="240" w:lineRule="auto"/>
        <w:rPr>
          <w:rFonts w:ascii="Times New Roman" w:eastAsia="Times New Roman" w:hAnsi="Times New Roman" w:cs="Times New Roman"/>
          <w:sz w:val="30"/>
          <w:szCs w:val="30"/>
          <w:lang w:eastAsia="ru-RU"/>
        </w:rPr>
      </w:pPr>
    </w:p>
    <w:p w:rsidR="00B01A18" w:rsidRDefault="00B01A18" w:rsidP="00B87952">
      <w:pPr>
        <w:spacing w:before="240" w:after="240" w:line="240" w:lineRule="auto"/>
        <w:rPr>
          <w:rFonts w:ascii="Times New Roman" w:eastAsia="Times New Roman" w:hAnsi="Times New Roman" w:cs="Times New Roman"/>
          <w:sz w:val="30"/>
          <w:szCs w:val="30"/>
          <w:lang w:eastAsia="ru-RU"/>
        </w:rPr>
      </w:pPr>
    </w:p>
    <w:p w:rsidR="00B01A18" w:rsidRDefault="00B01A18" w:rsidP="00B87952">
      <w:pPr>
        <w:spacing w:before="240" w:after="240" w:line="240" w:lineRule="auto"/>
        <w:rPr>
          <w:rFonts w:ascii="Times New Roman" w:eastAsia="Times New Roman" w:hAnsi="Times New Roman" w:cs="Times New Roman"/>
          <w:sz w:val="30"/>
          <w:szCs w:val="30"/>
          <w:lang w:eastAsia="ru-RU"/>
        </w:rPr>
      </w:pPr>
    </w:p>
    <w:p w:rsidR="00B87952" w:rsidRPr="00B87952" w:rsidRDefault="00B87952" w:rsidP="00B87952">
      <w:pPr>
        <w:spacing w:before="100" w:beforeAutospacing="1" w:after="100" w:afterAutospacing="1" w:line="450" w:lineRule="atLeast"/>
        <w:jc w:val="center"/>
        <w:outlineLvl w:val="2"/>
        <w:rPr>
          <w:rFonts w:ascii="Times New Roman" w:eastAsia="Times New Roman" w:hAnsi="Times New Roman" w:cs="Times New Roman"/>
          <w:b/>
          <w:bCs/>
          <w:color w:val="1C1C1C"/>
          <w:sz w:val="30"/>
          <w:szCs w:val="30"/>
          <w:lang w:eastAsia="ru-RU"/>
        </w:rPr>
      </w:pPr>
      <w:r w:rsidRPr="00B87952">
        <w:rPr>
          <w:rFonts w:ascii="Times New Roman" w:eastAsia="Times New Roman" w:hAnsi="Times New Roman" w:cs="Times New Roman"/>
          <w:b/>
          <w:bCs/>
          <w:color w:val="000000"/>
          <w:sz w:val="30"/>
          <w:szCs w:val="30"/>
          <w:lang w:eastAsia="ru-RU"/>
        </w:rPr>
        <w:lastRenderedPageBreak/>
        <w:t>Ставки госпошлины</w:t>
      </w:r>
    </w:p>
    <w:p w:rsidR="00B87952" w:rsidRPr="00B87952" w:rsidRDefault="00B87952" w:rsidP="00B87952">
      <w:pPr>
        <w:spacing w:before="100" w:beforeAutospacing="1" w:after="100" w:afterAutospacing="1" w:line="240" w:lineRule="auto"/>
        <w:rPr>
          <w:rFonts w:ascii="Times New Roman" w:eastAsia="Times New Roman" w:hAnsi="Times New Roman" w:cs="Times New Roman"/>
          <w:color w:val="828282"/>
          <w:sz w:val="30"/>
          <w:szCs w:val="30"/>
          <w:lang w:eastAsia="ru-RU"/>
        </w:rPr>
      </w:pPr>
    </w:p>
    <w:p w:rsidR="00B87952" w:rsidRPr="00B87952" w:rsidRDefault="00B87952" w:rsidP="00B87952">
      <w:pPr>
        <w:spacing w:before="100" w:beforeAutospacing="1" w:after="100" w:afterAutospacing="1" w:line="240" w:lineRule="auto"/>
        <w:jc w:val="right"/>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ИЗВЛЕЧЕНИЕ</w:t>
      </w:r>
      <w:r w:rsidRPr="00B87952">
        <w:rPr>
          <w:rFonts w:ascii="Times New Roman" w:eastAsia="Times New Roman" w:hAnsi="Times New Roman" w:cs="Times New Roman"/>
          <w:color w:val="828282"/>
          <w:sz w:val="30"/>
          <w:szCs w:val="30"/>
          <w:lang w:eastAsia="ru-RU"/>
        </w:rPr>
        <w:br/>
      </w:r>
      <w:r w:rsidRPr="00B87952">
        <w:rPr>
          <w:rFonts w:ascii="Times New Roman" w:eastAsia="Times New Roman" w:hAnsi="Times New Roman" w:cs="Times New Roman"/>
          <w:color w:val="000000"/>
          <w:sz w:val="30"/>
          <w:szCs w:val="30"/>
          <w:lang w:eastAsia="ru-RU"/>
        </w:rPr>
        <w:t>Приложение 20</w:t>
      </w:r>
      <w:proofErr w:type="gramStart"/>
      <w:r w:rsidRPr="00B87952">
        <w:rPr>
          <w:rFonts w:ascii="Times New Roman" w:eastAsia="Times New Roman" w:hAnsi="Times New Roman" w:cs="Times New Roman"/>
          <w:color w:val="828282"/>
          <w:sz w:val="30"/>
          <w:szCs w:val="30"/>
          <w:lang w:eastAsia="ru-RU"/>
        </w:rPr>
        <w:br/>
      </w:r>
      <w:r w:rsidRPr="00B87952">
        <w:rPr>
          <w:rFonts w:ascii="Times New Roman" w:eastAsia="Times New Roman" w:hAnsi="Times New Roman" w:cs="Times New Roman"/>
          <w:color w:val="000000"/>
          <w:sz w:val="30"/>
          <w:szCs w:val="30"/>
          <w:lang w:eastAsia="ru-RU"/>
        </w:rPr>
        <w:t>И</w:t>
      </w:r>
      <w:proofErr w:type="gramEnd"/>
      <w:r w:rsidRPr="00B87952">
        <w:rPr>
          <w:rFonts w:ascii="Times New Roman" w:eastAsia="Times New Roman" w:hAnsi="Times New Roman" w:cs="Times New Roman"/>
          <w:color w:val="000000"/>
          <w:sz w:val="30"/>
          <w:szCs w:val="30"/>
          <w:lang w:eastAsia="ru-RU"/>
        </w:rPr>
        <w:t>з Налогового кодекса </w:t>
      </w:r>
      <w:r w:rsidRPr="00B87952">
        <w:rPr>
          <w:rFonts w:ascii="Times New Roman" w:eastAsia="Times New Roman" w:hAnsi="Times New Roman" w:cs="Times New Roman"/>
          <w:color w:val="828282"/>
          <w:sz w:val="30"/>
          <w:szCs w:val="30"/>
          <w:lang w:eastAsia="ru-RU"/>
        </w:rPr>
        <w:br/>
      </w:r>
      <w:r w:rsidRPr="00B87952">
        <w:rPr>
          <w:rFonts w:ascii="Times New Roman" w:eastAsia="Times New Roman" w:hAnsi="Times New Roman" w:cs="Times New Roman"/>
          <w:color w:val="000000"/>
          <w:sz w:val="30"/>
          <w:szCs w:val="30"/>
          <w:lang w:eastAsia="ru-RU"/>
        </w:rPr>
        <w:t>Республики Беларусь </w:t>
      </w:r>
    </w:p>
    <w:p w:rsidR="00B87952" w:rsidRPr="00B87952" w:rsidRDefault="00B87952" w:rsidP="00B87952">
      <w:pPr>
        <w:spacing w:before="100" w:beforeAutospacing="1" w:after="100" w:afterAutospacing="1" w:line="240" w:lineRule="auto"/>
        <w:jc w:val="center"/>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Ставки государственной пошлины за совершение действий, связанных с регистрацией актов гражданского состояния</w:t>
      </w:r>
    </w:p>
    <w:tbl>
      <w:tblPr>
        <w:tblW w:w="12450" w:type="dxa"/>
        <w:tblCellSpacing w:w="15" w:type="dxa"/>
        <w:tblBorders>
          <w:top w:val="single" w:sz="6" w:space="0" w:color="EDEDED"/>
          <w:left w:val="outset" w:sz="2" w:space="0" w:color="auto"/>
          <w:bottom w:val="single" w:sz="6" w:space="0" w:color="EDEDED"/>
          <w:right w:val="single" w:sz="6" w:space="0" w:color="EDEDED"/>
        </w:tblBorders>
        <w:tblCellMar>
          <w:top w:w="15" w:type="dxa"/>
          <w:left w:w="15" w:type="dxa"/>
          <w:bottom w:w="15" w:type="dxa"/>
          <w:right w:w="15" w:type="dxa"/>
        </w:tblCellMar>
        <w:tblLook w:val="04A0"/>
      </w:tblPr>
      <w:tblGrid>
        <w:gridCol w:w="9255"/>
        <w:gridCol w:w="3195"/>
      </w:tblGrid>
      <w:tr w:rsidR="00B87952" w:rsidRPr="00B87952" w:rsidTr="00B87952">
        <w:trPr>
          <w:tblCellSpacing w:w="15" w:type="dxa"/>
        </w:trPr>
        <w:tc>
          <w:tcPr>
            <w:tcW w:w="0" w:type="auto"/>
            <w:tcBorders>
              <w:top w:val="nil"/>
              <w:left w:val="single" w:sz="6" w:space="0" w:color="EDEDED"/>
              <w:bottom w:val="outset" w:sz="6" w:space="0" w:color="auto"/>
              <w:right w:val="outset" w:sz="6" w:space="0" w:color="auto"/>
            </w:tcBorders>
            <w:shd w:val="clear" w:color="auto" w:fill="F7F7F7"/>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b/>
                <w:bCs/>
                <w:color w:val="828282"/>
                <w:sz w:val="30"/>
                <w:szCs w:val="30"/>
                <w:lang w:eastAsia="ru-RU"/>
              </w:rPr>
            </w:pPr>
            <w:r w:rsidRPr="00B87952">
              <w:rPr>
                <w:rFonts w:ascii="Times New Roman" w:eastAsia="Times New Roman" w:hAnsi="Times New Roman" w:cs="Times New Roman"/>
                <w:b/>
                <w:bCs/>
                <w:color w:val="000000"/>
                <w:sz w:val="30"/>
                <w:szCs w:val="30"/>
                <w:lang w:eastAsia="ru-RU"/>
              </w:rPr>
              <w:t>Наименование документов и действий, за которые взимается государственная пошлина</w:t>
            </w:r>
          </w:p>
        </w:tc>
        <w:tc>
          <w:tcPr>
            <w:tcW w:w="0" w:type="auto"/>
            <w:tcBorders>
              <w:top w:val="nil"/>
              <w:left w:val="single" w:sz="6" w:space="0" w:color="EDEDED"/>
              <w:bottom w:val="outset" w:sz="6" w:space="0" w:color="auto"/>
              <w:right w:val="outset" w:sz="6" w:space="0" w:color="auto"/>
            </w:tcBorders>
            <w:shd w:val="clear" w:color="auto" w:fill="F7F7F7"/>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b/>
                <w:bCs/>
                <w:color w:val="828282"/>
                <w:sz w:val="30"/>
                <w:szCs w:val="30"/>
                <w:lang w:eastAsia="ru-RU"/>
              </w:rPr>
            </w:pPr>
            <w:r w:rsidRPr="00B87952">
              <w:rPr>
                <w:rFonts w:ascii="Times New Roman" w:eastAsia="Times New Roman" w:hAnsi="Times New Roman" w:cs="Times New Roman"/>
                <w:b/>
                <w:bCs/>
                <w:color w:val="000000"/>
                <w:sz w:val="30"/>
                <w:szCs w:val="30"/>
                <w:lang w:eastAsia="ru-RU"/>
              </w:rPr>
              <w:t>Ставки государственной пошлины</w:t>
            </w:r>
          </w:p>
        </w:tc>
      </w:tr>
      <w:tr w:rsidR="00B87952" w:rsidRPr="00B87952" w:rsidTr="00B87952">
        <w:trPr>
          <w:tblCellSpacing w:w="15" w:type="dxa"/>
        </w:trPr>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1. Регистрация заключения брака, включая выдачу свидетельства</w:t>
            </w:r>
          </w:p>
        </w:tc>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1 </w:t>
            </w:r>
            <w:hyperlink r:id="rId5" w:history="1">
              <w:r w:rsidRPr="00B87952">
                <w:rPr>
                  <w:rFonts w:ascii="Times New Roman" w:eastAsia="Times New Roman" w:hAnsi="Times New Roman" w:cs="Times New Roman"/>
                  <w:color w:val="02346F"/>
                  <w:sz w:val="30"/>
                  <w:szCs w:val="30"/>
                  <w:lang w:eastAsia="ru-RU"/>
                </w:rPr>
                <w:t>базовая величина</w:t>
              </w:r>
            </w:hyperlink>
          </w:p>
        </w:tc>
      </w:tr>
      <w:tr w:rsidR="00B87952" w:rsidRPr="00B87952" w:rsidTr="00B87952">
        <w:trPr>
          <w:tblCellSpacing w:w="15" w:type="dxa"/>
        </w:trPr>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2. Регистрация расторжения брака по решениям судов, вступившим в законную силу до 1 сентября 1999 года, включая выдачу свидетельства, за исключением случаев, если решением суда лицо освобождено от уплаты государственной пошлины</w:t>
            </w:r>
          </w:p>
        </w:tc>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2 базовые величины</w:t>
            </w:r>
          </w:p>
        </w:tc>
      </w:tr>
      <w:tr w:rsidR="00B87952" w:rsidRPr="00B87952" w:rsidTr="00B87952">
        <w:trPr>
          <w:tblCellSpacing w:w="15" w:type="dxa"/>
        </w:trPr>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01A18">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lastRenderedPageBreak/>
              <w:t>2</w:t>
            </w:r>
            <w:r w:rsidRPr="00B87952">
              <w:rPr>
                <w:rFonts w:ascii="Times New Roman" w:eastAsia="Times New Roman" w:hAnsi="Times New Roman" w:cs="Times New Roman"/>
                <w:color w:val="000000"/>
                <w:sz w:val="30"/>
                <w:szCs w:val="30"/>
                <w:vertAlign w:val="superscript"/>
                <w:lang w:eastAsia="ru-RU"/>
              </w:rPr>
              <w:t>1</w:t>
            </w:r>
            <w:r w:rsidRPr="00B87952">
              <w:rPr>
                <w:rFonts w:ascii="Times New Roman" w:eastAsia="Times New Roman" w:hAnsi="Times New Roman" w:cs="Times New Roman"/>
                <w:color w:val="000000"/>
                <w:sz w:val="30"/>
                <w:szCs w:val="30"/>
                <w:lang w:eastAsia="ru-RU"/>
              </w:rPr>
              <w:t>.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w:t>
            </w:r>
            <w:r w:rsidRPr="00B87952">
              <w:rPr>
                <w:rFonts w:ascii="Times New Roman" w:eastAsia="Times New Roman" w:hAnsi="Times New Roman" w:cs="Times New Roman"/>
                <w:color w:val="000000"/>
                <w:sz w:val="30"/>
                <w:szCs w:val="30"/>
                <w:vertAlign w:val="superscript"/>
                <w:lang w:eastAsia="ru-RU"/>
              </w:rPr>
              <w:t>1</w:t>
            </w:r>
            <w:r w:rsidRPr="00B87952">
              <w:rPr>
                <w:rFonts w:ascii="Times New Roman" w:eastAsia="Times New Roman" w:hAnsi="Times New Roman" w:cs="Times New Roman"/>
                <w:color w:val="000000"/>
                <w:sz w:val="30"/>
                <w:szCs w:val="30"/>
                <w:lang w:eastAsia="ru-RU"/>
              </w:rPr>
              <w:t> Кодекса Республики Беларусь о браке и семье), включая выдачу свидетельств</w:t>
            </w:r>
          </w:p>
        </w:tc>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4 базовые величины</w:t>
            </w:r>
          </w:p>
        </w:tc>
      </w:tr>
      <w:tr w:rsidR="00B87952" w:rsidRPr="00B87952" w:rsidTr="00B87952">
        <w:trPr>
          <w:tblCellSpacing w:w="15" w:type="dxa"/>
        </w:trPr>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3. Регистрация перемены фамилии, собственного имени и отчества, включая выдачу свидетельства</w:t>
            </w:r>
          </w:p>
        </w:tc>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2 базовые величины</w:t>
            </w:r>
          </w:p>
        </w:tc>
      </w:tr>
      <w:tr w:rsidR="00B87952" w:rsidRPr="00B87952" w:rsidTr="00B87952">
        <w:trPr>
          <w:tblCellSpacing w:w="15" w:type="dxa"/>
        </w:trPr>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4. Выдача свидетель</w:t>
            </w:r>
            <w:proofErr w:type="gramStart"/>
            <w:r w:rsidRPr="00B87952">
              <w:rPr>
                <w:rFonts w:ascii="Times New Roman" w:eastAsia="Times New Roman" w:hAnsi="Times New Roman" w:cs="Times New Roman"/>
                <w:color w:val="000000"/>
                <w:sz w:val="30"/>
                <w:szCs w:val="30"/>
                <w:lang w:eastAsia="ru-RU"/>
              </w:rPr>
              <w:t>ств в св</w:t>
            </w:r>
            <w:proofErr w:type="gramEnd"/>
            <w:r w:rsidRPr="00B87952">
              <w:rPr>
                <w:rFonts w:ascii="Times New Roman" w:eastAsia="Times New Roman" w:hAnsi="Times New Roman" w:cs="Times New Roman"/>
                <w:color w:val="000000"/>
                <w:sz w:val="30"/>
                <w:szCs w:val="30"/>
                <w:lang w:eastAsia="ru-RU"/>
              </w:rPr>
              <w:t>язи с внесением изменений, дополнений, исправлений в записи актов гражданского состояния, восстановлением записей актов гражданского состояния</w:t>
            </w:r>
          </w:p>
        </w:tc>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1 базовая величина</w:t>
            </w:r>
          </w:p>
        </w:tc>
      </w:tr>
      <w:tr w:rsidR="00B87952" w:rsidRPr="00B87952" w:rsidTr="00B87952">
        <w:trPr>
          <w:tblCellSpacing w:w="15" w:type="dxa"/>
        </w:trPr>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5. Выдача повторных свидетельств о регистрации актов гражданского состояния</w:t>
            </w:r>
          </w:p>
        </w:tc>
        <w:tc>
          <w:tcPr>
            <w:tcW w:w="0" w:type="auto"/>
            <w:tcBorders>
              <w:top w:val="single" w:sz="6" w:space="0" w:color="EDEDED"/>
              <w:left w:val="single" w:sz="6" w:space="0" w:color="EDEDED"/>
              <w:bottom w:val="outset" w:sz="6" w:space="0" w:color="auto"/>
              <w:right w:val="outset" w:sz="6" w:space="0" w:color="auto"/>
            </w:tcBorders>
            <w:shd w:val="clear" w:color="auto" w:fill="auto"/>
            <w:tcMar>
              <w:top w:w="150" w:type="dxa"/>
              <w:left w:w="150" w:type="dxa"/>
              <w:bottom w:w="150" w:type="dxa"/>
              <w:right w:w="150" w:type="dxa"/>
            </w:tcMar>
            <w:hideMark/>
          </w:tcPr>
          <w:p w:rsidR="00B87952" w:rsidRPr="00B87952" w:rsidRDefault="00B87952" w:rsidP="00B87952">
            <w:pPr>
              <w:spacing w:after="300" w:line="240" w:lineRule="auto"/>
              <w:rPr>
                <w:rFonts w:ascii="Times New Roman" w:eastAsia="Times New Roman" w:hAnsi="Times New Roman" w:cs="Times New Roman"/>
                <w:color w:val="828282"/>
                <w:sz w:val="30"/>
                <w:szCs w:val="30"/>
                <w:lang w:eastAsia="ru-RU"/>
              </w:rPr>
            </w:pPr>
            <w:r w:rsidRPr="00B87952">
              <w:rPr>
                <w:rFonts w:ascii="Times New Roman" w:eastAsia="Times New Roman" w:hAnsi="Times New Roman" w:cs="Times New Roman"/>
                <w:color w:val="000000"/>
                <w:sz w:val="30"/>
                <w:szCs w:val="30"/>
                <w:lang w:eastAsia="ru-RU"/>
              </w:rPr>
              <w:t>1 базовая величина</w:t>
            </w:r>
          </w:p>
        </w:tc>
      </w:tr>
    </w:tbl>
    <w:p w:rsidR="00B01A18" w:rsidRDefault="00B01A18" w:rsidP="00B01A18">
      <w:pPr>
        <w:spacing w:after="0" w:line="240" w:lineRule="auto"/>
        <w:ind w:left="-360"/>
        <w:jc w:val="both"/>
        <w:rPr>
          <w:rFonts w:ascii="Times New Roman" w:eastAsia="Times New Roman" w:hAnsi="Times New Roman" w:cs="Times New Roman"/>
          <w:b/>
          <w:bCs/>
          <w:color w:val="0C004B"/>
          <w:sz w:val="30"/>
          <w:szCs w:val="30"/>
          <w:lang w:eastAsia="ru-RU"/>
        </w:rPr>
      </w:pPr>
      <w:r w:rsidRPr="00B87952">
        <w:rPr>
          <w:rFonts w:ascii="Times New Roman" w:eastAsia="Times New Roman" w:hAnsi="Times New Roman" w:cs="Times New Roman"/>
          <w:color w:val="0C004B"/>
          <w:sz w:val="30"/>
          <w:szCs w:val="30"/>
          <w:lang w:eastAsia="ru-RU"/>
        </w:rPr>
        <w:t>*** </w:t>
      </w:r>
      <w:r w:rsidRPr="00B87952">
        <w:rPr>
          <w:rFonts w:ascii="Times New Roman" w:eastAsia="Times New Roman" w:hAnsi="Times New Roman" w:cs="Times New Roman"/>
          <w:b/>
          <w:bCs/>
          <w:color w:val="0C004B"/>
          <w:sz w:val="30"/>
          <w:szCs w:val="30"/>
          <w:lang w:eastAsia="ru-RU"/>
        </w:rPr>
        <w:t>Реквизиты для оплаты </w:t>
      </w:r>
    </w:p>
    <w:p w:rsidR="00B01A18" w:rsidRPr="00B87952" w:rsidRDefault="00B01A18" w:rsidP="00B01A18">
      <w:pPr>
        <w:spacing w:after="0" w:line="240" w:lineRule="auto"/>
        <w:ind w:left="-360"/>
        <w:jc w:val="both"/>
        <w:rPr>
          <w:rFonts w:ascii="Times New Roman" w:eastAsia="Times New Roman" w:hAnsi="Times New Roman" w:cs="Times New Roman"/>
          <w:b/>
          <w:color w:val="000000"/>
          <w:sz w:val="30"/>
          <w:szCs w:val="30"/>
          <w:lang w:eastAsia="ru-RU"/>
        </w:rPr>
      </w:pPr>
      <w:r w:rsidRPr="00B87952">
        <w:rPr>
          <w:rFonts w:ascii="Times New Roman" w:eastAsia="Times New Roman" w:hAnsi="Times New Roman" w:cs="Times New Roman"/>
          <w:b/>
          <w:color w:val="000000"/>
          <w:sz w:val="30"/>
          <w:szCs w:val="30"/>
          <w:lang w:eastAsia="ru-RU"/>
        </w:rPr>
        <w:t xml:space="preserve">Получатель: </w:t>
      </w:r>
      <w:r w:rsidRPr="00B87952">
        <w:rPr>
          <w:rFonts w:ascii="Times New Roman" w:eastAsia="Times New Roman" w:hAnsi="Times New Roman" w:cs="Times New Roman"/>
          <w:color w:val="000000"/>
          <w:sz w:val="30"/>
          <w:szCs w:val="30"/>
          <w:lang w:eastAsia="ru-RU"/>
        </w:rPr>
        <w:t>Главное управление Министерства финансов Республики Беларусь по Витебской области (ГУ МФ РБ по Витебской области)</w:t>
      </w:r>
    </w:p>
    <w:p w:rsidR="00B01A18" w:rsidRPr="00B87952" w:rsidRDefault="00B01A18" w:rsidP="00B01A18">
      <w:pPr>
        <w:spacing w:after="0" w:line="240" w:lineRule="auto"/>
        <w:ind w:left="-360"/>
        <w:jc w:val="both"/>
        <w:rPr>
          <w:rFonts w:ascii="Times New Roman" w:eastAsia="Times New Roman" w:hAnsi="Times New Roman" w:cs="Times New Roman"/>
          <w:color w:val="000000"/>
          <w:sz w:val="30"/>
          <w:szCs w:val="30"/>
          <w:lang w:eastAsia="ru-RU"/>
        </w:rPr>
      </w:pPr>
      <w:r w:rsidRPr="00B87952">
        <w:rPr>
          <w:rFonts w:ascii="Times New Roman" w:eastAsia="Times New Roman" w:hAnsi="Times New Roman" w:cs="Times New Roman"/>
          <w:b/>
          <w:color w:val="000000"/>
          <w:sz w:val="30"/>
          <w:szCs w:val="30"/>
          <w:lang w:eastAsia="ru-RU"/>
        </w:rPr>
        <w:t>УНП:</w:t>
      </w:r>
      <w:r w:rsidRPr="00B87952">
        <w:rPr>
          <w:rFonts w:ascii="Times New Roman" w:eastAsia="Times New Roman" w:hAnsi="Times New Roman" w:cs="Times New Roman"/>
          <w:color w:val="000000"/>
          <w:sz w:val="30"/>
          <w:szCs w:val="30"/>
          <w:lang w:eastAsia="ru-RU"/>
        </w:rPr>
        <w:t xml:space="preserve"> 300594330</w:t>
      </w:r>
    </w:p>
    <w:p w:rsidR="00B01A18" w:rsidRPr="00B87952" w:rsidRDefault="00B01A18" w:rsidP="00B01A18">
      <w:pPr>
        <w:spacing w:after="0" w:line="240" w:lineRule="auto"/>
        <w:ind w:left="-360"/>
        <w:jc w:val="both"/>
        <w:rPr>
          <w:rFonts w:ascii="Times New Roman" w:eastAsia="Times New Roman" w:hAnsi="Times New Roman" w:cs="Times New Roman"/>
          <w:color w:val="000000"/>
          <w:sz w:val="30"/>
          <w:szCs w:val="30"/>
          <w:lang w:eastAsia="ru-RU"/>
        </w:rPr>
      </w:pPr>
      <w:r w:rsidRPr="00B87952">
        <w:rPr>
          <w:rFonts w:ascii="Times New Roman" w:eastAsia="Times New Roman" w:hAnsi="Times New Roman" w:cs="Times New Roman"/>
          <w:b/>
          <w:color w:val="000000"/>
          <w:sz w:val="30"/>
          <w:szCs w:val="30"/>
          <w:lang w:eastAsia="ru-RU"/>
        </w:rPr>
        <w:t xml:space="preserve">код банка </w:t>
      </w:r>
      <w:r w:rsidRPr="00B87952">
        <w:rPr>
          <w:rFonts w:ascii="Times New Roman" w:eastAsia="Times New Roman" w:hAnsi="Times New Roman" w:cs="Times New Roman"/>
          <w:color w:val="000000"/>
          <w:sz w:val="30"/>
          <w:szCs w:val="30"/>
          <w:lang w:val="en-US" w:eastAsia="ru-RU"/>
        </w:rPr>
        <w:t>AKBBBY</w:t>
      </w:r>
      <w:r w:rsidRPr="00B87952">
        <w:rPr>
          <w:rFonts w:ascii="Times New Roman" w:eastAsia="Times New Roman" w:hAnsi="Times New Roman" w:cs="Times New Roman"/>
          <w:color w:val="000000"/>
          <w:sz w:val="30"/>
          <w:szCs w:val="30"/>
          <w:lang w:eastAsia="ru-RU"/>
        </w:rPr>
        <w:t>2</w:t>
      </w:r>
      <w:r w:rsidRPr="00B87952">
        <w:rPr>
          <w:rFonts w:ascii="Times New Roman" w:eastAsia="Times New Roman" w:hAnsi="Times New Roman" w:cs="Times New Roman"/>
          <w:color w:val="000000"/>
          <w:sz w:val="30"/>
          <w:szCs w:val="30"/>
          <w:lang w:val="en-US" w:eastAsia="ru-RU"/>
        </w:rPr>
        <w:t>X</w:t>
      </w:r>
      <w:r w:rsidRPr="00B87952">
        <w:rPr>
          <w:rFonts w:ascii="Times New Roman" w:eastAsia="Times New Roman" w:hAnsi="Times New Roman" w:cs="Times New Roman"/>
          <w:color w:val="000000"/>
          <w:sz w:val="30"/>
          <w:szCs w:val="30"/>
          <w:lang w:eastAsia="ru-RU"/>
        </w:rPr>
        <w:t xml:space="preserve">, </w:t>
      </w:r>
      <w:r w:rsidRPr="00B87952">
        <w:rPr>
          <w:rFonts w:ascii="Times New Roman" w:eastAsia="Times New Roman" w:hAnsi="Times New Roman" w:cs="Times New Roman"/>
          <w:b/>
          <w:color w:val="000000"/>
          <w:sz w:val="30"/>
          <w:szCs w:val="30"/>
          <w:lang w:eastAsia="ru-RU"/>
        </w:rPr>
        <w:t xml:space="preserve">номер счета </w:t>
      </w:r>
      <w:r w:rsidRPr="00B87952">
        <w:rPr>
          <w:rFonts w:ascii="Times New Roman" w:eastAsia="Times New Roman" w:hAnsi="Times New Roman" w:cs="Times New Roman"/>
          <w:b/>
          <w:color w:val="000000"/>
          <w:sz w:val="30"/>
          <w:szCs w:val="30"/>
          <w:lang w:val="en-US" w:eastAsia="ru-RU"/>
        </w:rPr>
        <w:t>BY</w:t>
      </w:r>
      <w:r w:rsidRPr="00B87952">
        <w:rPr>
          <w:rFonts w:ascii="Times New Roman" w:eastAsia="Times New Roman" w:hAnsi="Times New Roman" w:cs="Times New Roman"/>
          <w:b/>
          <w:color w:val="000000"/>
          <w:sz w:val="30"/>
          <w:szCs w:val="30"/>
          <w:lang w:eastAsia="ru-RU"/>
        </w:rPr>
        <w:t>46</w:t>
      </w:r>
      <w:r w:rsidRPr="00B87952">
        <w:rPr>
          <w:rFonts w:ascii="Times New Roman" w:eastAsia="Times New Roman" w:hAnsi="Times New Roman" w:cs="Times New Roman"/>
          <w:b/>
          <w:color w:val="000000"/>
          <w:sz w:val="30"/>
          <w:szCs w:val="30"/>
          <w:lang w:val="en-US" w:eastAsia="ru-RU"/>
        </w:rPr>
        <w:t>AKBB</w:t>
      </w:r>
      <w:r w:rsidRPr="00B87952">
        <w:rPr>
          <w:rFonts w:ascii="Times New Roman" w:eastAsia="Times New Roman" w:hAnsi="Times New Roman" w:cs="Times New Roman"/>
          <w:b/>
          <w:color w:val="000000"/>
          <w:sz w:val="30"/>
          <w:szCs w:val="30"/>
          <w:lang w:eastAsia="ru-RU"/>
        </w:rPr>
        <w:t>36003200020090000000</w:t>
      </w:r>
      <w:r w:rsidRPr="00B87952">
        <w:rPr>
          <w:rFonts w:ascii="Times New Roman" w:eastAsia="Times New Roman" w:hAnsi="Times New Roman" w:cs="Times New Roman"/>
          <w:color w:val="000000"/>
          <w:sz w:val="30"/>
          <w:szCs w:val="30"/>
          <w:lang w:eastAsia="ru-RU"/>
        </w:rPr>
        <w:t xml:space="preserve">, </w:t>
      </w:r>
    </w:p>
    <w:p w:rsidR="00B01A18" w:rsidRPr="00B87952" w:rsidRDefault="00B01A18" w:rsidP="00B01A18">
      <w:pPr>
        <w:spacing w:after="0" w:line="240" w:lineRule="auto"/>
        <w:ind w:left="-360"/>
        <w:jc w:val="both"/>
        <w:rPr>
          <w:rFonts w:ascii="Times New Roman" w:hAnsi="Times New Roman" w:cs="Times New Roman"/>
          <w:sz w:val="30"/>
          <w:szCs w:val="30"/>
        </w:rPr>
      </w:pPr>
      <w:r w:rsidRPr="00B87952">
        <w:rPr>
          <w:rFonts w:ascii="Times New Roman" w:eastAsia="Times New Roman" w:hAnsi="Times New Roman" w:cs="Times New Roman"/>
          <w:b/>
          <w:color w:val="000000"/>
          <w:sz w:val="30"/>
          <w:szCs w:val="30"/>
          <w:lang w:eastAsia="ru-RU"/>
        </w:rPr>
        <w:t>код платежа</w:t>
      </w:r>
      <w:r w:rsidRPr="00B87952">
        <w:rPr>
          <w:rFonts w:ascii="Times New Roman" w:eastAsia="Times New Roman" w:hAnsi="Times New Roman" w:cs="Times New Roman"/>
          <w:color w:val="000000"/>
          <w:sz w:val="30"/>
          <w:szCs w:val="30"/>
          <w:lang w:eastAsia="ru-RU"/>
        </w:rPr>
        <w:t xml:space="preserve">  03002</w:t>
      </w:r>
    </w:p>
    <w:p w:rsidR="00B87952" w:rsidRDefault="00B87952" w:rsidP="00B87952">
      <w:pPr>
        <w:spacing w:after="0" w:line="240" w:lineRule="auto"/>
        <w:rPr>
          <w:rFonts w:ascii="Times New Roman" w:eastAsia="Times New Roman" w:hAnsi="Times New Roman" w:cs="Times New Roman"/>
          <w:color w:val="828282"/>
          <w:sz w:val="30"/>
          <w:szCs w:val="30"/>
          <w:lang w:eastAsia="ru-RU"/>
        </w:rPr>
      </w:pPr>
    </w:p>
    <w:p w:rsidR="00B87952" w:rsidRDefault="00B87952" w:rsidP="00B87952">
      <w:pPr>
        <w:spacing w:after="0" w:line="240" w:lineRule="auto"/>
        <w:rPr>
          <w:rFonts w:ascii="Times New Roman" w:eastAsia="Times New Roman" w:hAnsi="Times New Roman" w:cs="Times New Roman"/>
          <w:color w:val="828282"/>
          <w:sz w:val="30"/>
          <w:szCs w:val="30"/>
          <w:lang w:eastAsia="ru-RU"/>
        </w:rPr>
      </w:pPr>
    </w:p>
    <w:p w:rsidR="00B01A18" w:rsidRPr="008D7FD9" w:rsidRDefault="00B01A18" w:rsidP="00B87952">
      <w:pPr>
        <w:spacing w:after="0" w:line="240" w:lineRule="auto"/>
        <w:rPr>
          <w:rFonts w:ascii="Times New Roman" w:eastAsia="Times New Roman" w:hAnsi="Times New Roman" w:cs="Times New Roman"/>
          <w:b/>
          <w:color w:val="828282"/>
          <w:sz w:val="30"/>
          <w:szCs w:val="30"/>
          <w:lang w:eastAsia="ru-RU"/>
        </w:rPr>
      </w:pPr>
    </w:p>
    <w:p w:rsidR="00B01A18" w:rsidRPr="008D7FD9" w:rsidRDefault="008D7FD9">
      <w:pPr>
        <w:spacing w:after="0" w:line="240" w:lineRule="auto"/>
        <w:ind w:left="-360"/>
        <w:jc w:val="both"/>
        <w:rPr>
          <w:rFonts w:ascii="Times New Roman" w:hAnsi="Times New Roman" w:cs="Times New Roman"/>
          <w:b/>
          <w:sz w:val="30"/>
          <w:szCs w:val="30"/>
        </w:rPr>
      </w:pPr>
      <w:r w:rsidRPr="008D7FD9">
        <w:rPr>
          <w:rFonts w:ascii="Times New Roman" w:hAnsi="Times New Roman" w:cs="Times New Roman"/>
          <w:b/>
          <w:color w:val="343434"/>
          <w:sz w:val="30"/>
          <w:szCs w:val="30"/>
        </w:rPr>
        <w:t>Постановлением Совета Министров Республики Беларусь № 651 «Об установлении размера базовой величины» от 20.11.2025 года с 1 января 2026 года установлен размер базовой величины 45 рублей.</w:t>
      </w:r>
    </w:p>
    <w:sectPr w:rsidR="00B01A18" w:rsidRPr="008D7FD9" w:rsidSect="00B87952">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55124"/>
    <w:multiLevelType w:val="multilevel"/>
    <w:tmpl w:val="1D3E2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267628"/>
    <w:rsid w:val="00104096"/>
    <w:rsid w:val="001525A4"/>
    <w:rsid w:val="00267628"/>
    <w:rsid w:val="00274034"/>
    <w:rsid w:val="004461BC"/>
    <w:rsid w:val="004632DF"/>
    <w:rsid w:val="00681671"/>
    <w:rsid w:val="00822952"/>
    <w:rsid w:val="008D7FD9"/>
    <w:rsid w:val="00A83A79"/>
    <w:rsid w:val="00B01A18"/>
    <w:rsid w:val="00B87952"/>
    <w:rsid w:val="00C208E3"/>
    <w:rsid w:val="00C96E52"/>
    <w:rsid w:val="00EF7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E52"/>
  </w:style>
  <w:style w:type="paragraph" w:styleId="1">
    <w:name w:val="heading 1"/>
    <w:basedOn w:val="a"/>
    <w:next w:val="a"/>
    <w:link w:val="10"/>
    <w:qFormat/>
    <w:rsid w:val="00681671"/>
    <w:pPr>
      <w:keepNext/>
      <w:spacing w:after="0" w:line="240" w:lineRule="auto"/>
      <w:jc w:val="center"/>
      <w:outlineLvl w:val="0"/>
    </w:pPr>
    <w:rPr>
      <w:rFonts w:ascii="Times New Roman" w:eastAsia="Times New Roman" w:hAnsi="Times New Roman" w:cs="Times New Roman"/>
      <w:b/>
      <w:bCs/>
      <w:sz w:val="5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461BC"/>
    <w:pPr>
      <w:spacing w:before="240" w:after="240" w:line="240" w:lineRule="auto"/>
      <w:ind w:right="2268"/>
    </w:pPr>
    <w:rPr>
      <w:rFonts w:ascii="Times New Roman" w:eastAsia="Times New Roman" w:hAnsi="Times New Roman" w:cs="Times New Roman"/>
      <w:b/>
      <w:bCs/>
      <w:sz w:val="28"/>
      <w:szCs w:val="28"/>
      <w:lang w:val="en-US"/>
    </w:rPr>
  </w:style>
  <w:style w:type="paragraph" w:customStyle="1" w:styleId="point">
    <w:name w:val="point"/>
    <w:basedOn w:val="a"/>
    <w:rsid w:val="004461BC"/>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preamble">
    <w:name w:val="preamble"/>
    <w:basedOn w:val="a"/>
    <w:rsid w:val="004461BC"/>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newncpi">
    <w:name w:val="newncpi"/>
    <w:basedOn w:val="a"/>
    <w:rsid w:val="004461BC"/>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newncpi0">
    <w:name w:val="newncpi0"/>
    <w:basedOn w:val="a"/>
    <w:rsid w:val="004461BC"/>
    <w:pPr>
      <w:spacing w:after="0" w:line="240" w:lineRule="auto"/>
      <w:jc w:val="both"/>
    </w:pPr>
    <w:rPr>
      <w:rFonts w:ascii="Times New Roman" w:eastAsiaTheme="minorEastAsia" w:hAnsi="Times New Roman" w:cs="Times New Roman"/>
      <w:sz w:val="24"/>
      <w:szCs w:val="24"/>
      <w:lang w:val="en-US"/>
    </w:rPr>
  </w:style>
  <w:style w:type="character" w:customStyle="1" w:styleId="name">
    <w:name w:val="name"/>
    <w:basedOn w:val="a0"/>
    <w:rsid w:val="004461BC"/>
    <w:rPr>
      <w:rFonts w:ascii="Times New Roman" w:hAnsi="Times New Roman" w:cs="Times New Roman" w:hint="default"/>
      <w:caps/>
    </w:rPr>
  </w:style>
  <w:style w:type="character" w:customStyle="1" w:styleId="promulgator">
    <w:name w:val="promulgator"/>
    <w:basedOn w:val="a0"/>
    <w:rsid w:val="004461BC"/>
    <w:rPr>
      <w:rFonts w:ascii="Times New Roman" w:hAnsi="Times New Roman" w:cs="Times New Roman" w:hint="default"/>
      <w:caps/>
    </w:rPr>
  </w:style>
  <w:style w:type="character" w:customStyle="1" w:styleId="datepr">
    <w:name w:val="datepr"/>
    <w:basedOn w:val="a0"/>
    <w:rsid w:val="004461BC"/>
    <w:rPr>
      <w:rFonts w:ascii="Times New Roman" w:hAnsi="Times New Roman" w:cs="Times New Roman" w:hint="default"/>
    </w:rPr>
  </w:style>
  <w:style w:type="character" w:customStyle="1" w:styleId="number">
    <w:name w:val="number"/>
    <w:basedOn w:val="a0"/>
    <w:rsid w:val="004461BC"/>
    <w:rPr>
      <w:rFonts w:ascii="Times New Roman" w:hAnsi="Times New Roman" w:cs="Times New Roman" w:hint="default"/>
    </w:rPr>
  </w:style>
  <w:style w:type="character" w:customStyle="1" w:styleId="post">
    <w:name w:val="post"/>
    <w:basedOn w:val="a0"/>
    <w:rsid w:val="004461BC"/>
    <w:rPr>
      <w:rFonts w:ascii="Times New Roman" w:hAnsi="Times New Roman" w:cs="Times New Roman" w:hint="default"/>
      <w:b/>
      <w:bCs/>
      <w:sz w:val="22"/>
      <w:szCs w:val="22"/>
    </w:rPr>
  </w:style>
  <w:style w:type="character" w:customStyle="1" w:styleId="pers">
    <w:name w:val="pers"/>
    <w:basedOn w:val="a0"/>
    <w:rsid w:val="004461BC"/>
    <w:rPr>
      <w:rFonts w:ascii="Times New Roman" w:hAnsi="Times New Roman" w:cs="Times New Roman" w:hint="default"/>
      <w:b/>
      <w:bCs/>
      <w:sz w:val="22"/>
      <w:szCs w:val="22"/>
    </w:rPr>
  </w:style>
  <w:style w:type="character" w:customStyle="1" w:styleId="10">
    <w:name w:val="Заголовок 1 Знак"/>
    <w:basedOn w:val="a0"/>
    <w:link w:val="1"/>
    <w:rsid w:val="00681671"/>
    <w:rPr>
      <w:rFonts w:ascii="Times New Roman" w:eastAsia="Times New Roman" w:hAnsi="Times New Roman" w:cs="Times New Roman"/>
      <w:b/>
      <w:bCs/>
      <w:sz w:val="52"/>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461BC"/>
    <w:pPr>
      <w:spacing w:before="240" w:after="240" w:line="240" w:lineRule="auto"/>
      <w:ind w:right="2268"/>
    </w:pPr>
    <w:rPr>
      <w:rFonts w:ascii="Times New Roman" w:eastAsia="Times New Roman" w:hAnsi="Times New Roman" w:cs="Times New Roman"/>
      <w:b/>
      <w:bCs/>
      <w:sz w:val="28"/>
      <w:szCs w:val="28"/>
      <w:lang w:val="en-US"/>
    </w:rPr>
  </w:style>
  <w:style w:type="paragraph" w:customStyle="1" w:styleId="point">
    <w:name w:val="point"/>
    <w:basedOn w:val="a"/>
    <w:rsid w:val="004461BC"/>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preamble">
    <w:name w:val="preamble"/>
    <w:basedOn w:val="a"/>
    <w:rsid w:val="004461BC"/>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newncpi">
    <w:name w:val="newncpi"/>
    <w:basedOn w:val="a"/>
    <w:rsid w:val="004461BC"/>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newncpi0">
    <w:name w:val="newncpi0"/>
    <w:basedOn w:val="a"/>
    <w:rsid w:val="004461BC"/>
    <w:pPr>
      <w:spacing w:after="0" w:line="240" w:lineRule="auto"/>
      <w:jc w:val="both"/>
    </w:pPr>
    <w:rPr>
      <w:rFonts w:ascii="Times New Roman" w:eastAsiaTheme="minorEastAsia" w:hAnsi="Times New Roman" w:cs="Times New Roman"/>
      <w:sz w:val="24"/>
      <w:szCs w:val="24"/>
      <w:lang w:val="en-US"/>
    </w:rPr>
  </w:style>
  <w:style w:type="character" w:customStyle="1" w:styleId="name">
    <w:name w:val="name"/>
    <w:basedOn w:val="a0"/>
    <w:rsid w:val="004461BC"/>
    <w:rPr>
      <w:rFonts w:ascii="Times New Roman" w:hAnsi="Times New Roman" w:cs="Times New Roman" w:hint="default"/>
      <w:caps/>
    </w:rPr>
  </w:style>
  <w:style w:type="character" w:customStyle="1" w:styleId="promulgator">
    <w:name w:val="promulgator"/>
    <w:basedOn w:val="a0"/>
    <w:rsid w:val="004461BC"/>
    <w:rPr>
      <w:rFonts w:ascii="Times New Roman" w:hAnsi="Times New Roman" w:cs="Times New Roman" w:hint="default"/>
      <w:caps/>
    </w:rPr>
  </w:style>
  <w:style w:type="character" w:customStyle="1" w:styleId="datepr">
    <w:name w:val="datepr"/>
    <w:basedOn w:val="a0"/>
    <w:rsid w:val="004461BC"/>
    <w:rPr>
      <w:rFonts w:ascii="Times New Roman" w:hAnsi="Times New Roman" w:cs="Times New Roman" w:hint="default"/>
    </w:rPr>
  </w:style>
  <w:style w:type="character" w:customStyle="1" w:styleId="number">
    <w:name w:val="number"/>
    <w:basedOn w:val="a0"/>
    <w:rsid w:val="004461BC"/>
    <w:rPr>
      <w:rFonts w:ascii="Times New Roman" w:hAnsi="Times New Roman" w:cs="Times New Roman" w:hint="default"/>
    </w:rPr>
  </w:style>
  <w:style w:type="character" w:customStyle="1" w:styleId="post">
    <w:name w:val="post"/>
    <w:basedOn w:val="a0"/>
    <w:rsid w:val="004461BC"/>
    <w:rPr>
      <w:rFonts w:ascii="Times New Roman" w:hAnsi="Times New Roman" w:cs="Times New Roman" w:hint="default"/>
      <w:b/>
      <w:bCs/>
      <w:sz w:val="22"/>
      <w:szCs w:val="22"/>
    </w:rPr>
  </w:style>
  <w:style w:type="character" w:customStyle="1" w:styleId="pers">
    <w:name w:val="pers"/>
    <w:basedOn w:val="a0"/>
    <w:rsid w:val="004461BC"/>
    <w:rPr>
      <w:rFonts w:ascii="Times New Roman" w:hAnsi="Times New Roman" w:cs="Times New Roman" w:hint="default"/>
      <w:b/>
      <w:bCs/>
      <w:sz w:val="22"/>
      <w:szCs w:val="22"/>
    </w:rPr>
  </w:style>
</w:styles>
</file>

<file path=word/webSettings.xml><?xml version="1.0" encoding="utf-8"?>
<w:webSettings xmlns:r="http://schemas.openxmlformats.org/officeDocument/2006/relationships" xmlns:w="http://schemas.openxmlformats.org/wordprocessingml/2006/main">
  <w:divs>
    <w:div w:id="905337212">
      <w:bodyDiv w:val="1"/>
      <w:marLeft w:val="0"/>
      <w:marRight w:val="0"/>
      <w:marTop w:val="0"/>
      <w:marBottom w:val="0"/>
      <w:divBdr>
        <w:top w:val="none" w:sz="0" w:space="0" w:color="auto"/>
        <w:left w:val="none" w:sz="0" w:space="0" w:color="auto"/>
        <w:bottom w:val="none" w:sz="0" w:space="0" w:color="auto"/>
        <w:right w:val="none" w:sz="0" w:space="0" w:color="auto"/>
      </w:divBdr>
    </w:div>
    <w:div w:id="1536428733">
      <w:bodyDiv w:val="1"/>
      <w:marLeft w:val="0"/>
      <w:marRight w:val="0"/>
      <w:marTop w:val="0"/>
      <w:marBottom w:val="0"/>
      <w:divBdr>
        <w:top w:val="none" w:sz="0" w:space="0" w:color="auto"/>
        <w:left w:val="none" w:sz="0" w:space="0" w:color="auto"/>
        <w:bottom w:val="none" w:sz="0" w:space="0" w:color="auto"/>
        <w:right w:val="none" w:sz="0" w:space="0" w:color="auto"/>
      </w:divBdr>
    </w:div>
    <w:div w:id="1831359654">
      <w:bodyDiv w:val="1"/>
      <w:marLeft w:val="0"/>
      <w:marRight w:val="0"/>
      <w:marTop w:val="0"/>
      <w:marBottom w:val="0"/>
      <w:divBdr>
        <w:top w:val="none" w:sz="0" w:space="0" w:color="auto"/>
        <w:left w:val="none" w:sz="0" w:space="0" w:color="auto"/>
        <w:bottom w:val="none" w:sz="0" w:space="0" w:color="auto"/>
        <w:right w:val="none" w:sz="0" w:space="0" w:color="auto"/>
      </w:divBdr>
    </w:div>
    <w:div w:id="201615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tebskjust.gov.by/info/news/bazovaya.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1874</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ЗАГС</dc:creator>
  <cp:lastModifiedBy>Старовойтова</cp:lastModifiedBy>
  <cp:revision>4</cp:revision>
  <dcterms:created xsi:type="dcterms:W3CDTF">2025-01-13T08:17:00Z</dcterms:created>
  <dcterms:modified xsi:type="dcterms:W3CDTF">2026-01-08T05:37:00Z</dcterms:modified>
</cp:coreProperties>
</file>